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AFB" w:rsidRPr="00320E67" w:rsidRDefault="002B7AFB" w:rsidP="002B7AFB">
      <w:pPr>
        <w:ind w:left="1843" w:right="1983"/>
        <w:jc w:val="both"/>
        <w:rPr>
          <w:rFonts w:ascii="Tahoma" w:hAnsi="Tahoma" w:cs="Tahoma"/>
          <w:i/>
          <w:sz w:val="20"/>
          <w:szCs w:val="20"/>
        </w:rPr>
      </w:pPr>
      <w:r w:rsidRPr="00320E67">
        <w:rPr>
          <w:rFonts w:ascii="Tahoma" w:hAnsi="Tahoma" w:cs="Tahoma"/>
          <w:i/>
          <w:sz w:val="20"/>
          <w:szCs w:val="20"/>
        </w:rPr>
        <w:t>Sumilla   :</w:t>
      </w:r>
      <w:r w:rsidR="00320E67">
        <w:rPr>
          <w:rFonts w:ascii="Tahoma" w:hAnsi="Tahoma" w:cs="Tahoma"/>
          <w:i/>
          <w:sz w:val="20"/>
          <w:szCs w:val="20"/>
        </w:rPr>
        <w:t xml:space="preserve"> </w:t>
      </w:r>
      <w:r w:rsidRPr="00320E67">
        <w:rPr>
          <w:rFonts w:ascii="Tahoma" w:hAnsi="Tahoma" w:cs="Tahoma"/>
          <w:i/>
          <w:sz w:val="20"/>
          <w:szCs w:val="20"/>
        </w:rPr>
        <w:t>“</w:t>
      </w:r>
      <w:r w:rsidR="00320E67" w:rsidRPr="00320E67">
        <w:rPr>
          <w:rFonts w:ascii="Tahoma" w:hAnsi="Tahoma" w:cs="Tahoma"/>
          <w:i/>
          <w:sz w:val="20"/>
          <w:szCs w:val="20"/>
        </w:rPr>
        <w:t>No se configura el presupuesto necesario para la infracción prevista en el literal a) del numeral 51.1 del artículo 51 cuando la Entidad no cumple con el procedimiento para la suscripción del contrato, según lo establecido en el artículo 148 del Reglamento”</w:t>
      </w:r>
    </w:p>
    <w:p w:rsidR="002B7AFB" w:rsidRPr="00A85917" w:rsidRDefault="002B7AFB" w:rsidP="002B7AFB">
      <w:pPr>
        <w:pStyle w:val="Textoindependiente3"/>
        <w:spacing w:after="0"/>
        <w:rPr>
          <w:rFonts w:ascii="Tahoma" w:hAnsi="Tahoma" w:cs="Tahoma"/>
          <w:i/>
          <w:sz w:val="23"/>
          <w:szCs w:val="23"/>
          <w:lang w:val="es-ES"/>
        </w:rPr>
      </w:pPr>
    </w:p>
    <w:p w:rsidR="002B7AFB" w:rsidRPr="00A85917" w:rsidRDefault="002B7AFB" w:rsidP="002B7AFB">
      <w:pPr>
        <w:pStyle w:val="Textoindependiente3"/>
        <w:spacing w:after="0"/>
        <w:ind w:left="5387"/>
        <w:jc w:val="both"/>
        <w:rPr>
          <w:rFonts w:ascii="Tahoma" w:hAnsi="Tahoma" w:cs="Tahoma"/>
          <w:b/>
          <w:sz w:val="23"/>
          <w:szCs w:val="23"/>
        </w:rPr>
      </w:pPr>
      <w:r w:rsidRPr="00A85917">
        <w:rPr>
          <w:rFonts w:ascii="Tahoma" w:hAnsi="Tahoma" w:cs="Tahoma"/>
          <w:b/>
          <w:sz w:val="23"/>
          <w:szCs w:val="23"/>
        </w:rPr>
        <w:t>Lima,</w:t>
      </w:r>
      <w:r w:rsidR="00B07267">
        <w:rPr>
          <w:rFonts w:ascii="Tahoma" w:hAnsi="Tahoma" w:cs="Tahoma"/>
          <w:b/>
          <w:sz w:val="23"/>
          <w:szCs w:val="23"/>
        </w:rPr>
        <w:t xml:space="preserve"> 31 de Mayo de 2011</w:t>
      </w:r>
    </w:p>
    <w:p w:rsidR="002B7AFB" w:rsidRPr="00A85917" w:rsidRDefault="002B7AFB" w:rsidP="002B7AFB">
      <w:pPr>
        <w:pStyle w:val="Textoindependiente3"/>
        <w:spacing w:after="0"/>
        <w:ind w:left="5387"/>
        <w:jc w:val="both"/>
        <w:rPr>
          <w:rFonts w:ascii="Tahoma" w:hAnsi="Tahoma" w:cs="Tahoma"/>
          <w:b/>
          <w:sz w:val="23"/>
          <w:szCs w:val="23"/>
        </w:rPr>
      </w:pPr>
    </w:p>
    <w:p w:rsidR="002B7AFB" w:rsidRPr="00D96478" w:rsidRDefault="002B7AFB" w:rsidP="002B7AFB">
      <w:pPr>
        <w:ind w:firstLine="567"/>
        <w:contextualSpacing/>
        <w:jc w:val="both"/>
        <w:rPr>
          <w:rFonts w:ascii="Tahoma" w:hAnsi="Tahoma" w:cs="Tahoma"/>
          <w:i/>
          <w:sz w:val="22"/>
          <w:szCs w:val="22"/>
        </w:rPr>
      </w:pPr>
      <w:r w:rsidRPr="00D96478">
        <w:rPr>
          <w:rFonts w:ascii="Tahoma" w:hAnsi="Tahoma" w:cs="Tahoma"/>
          <w:b/>
          <w:sz w:val="23"/>
          <w:szCs w:val="23"/>
        </w:rPr>
        <w:t xml:space="preserve">Visto </w:t>
      </w:r>
      <w:r>
        <w:rPr>
          <w:rFonts w:ascii="Tahoma" w:hAnsi="Tahoma" w:cs="Tahoma"/>
          <w:sz w:val="23"/>
          <w:szCs w:val="23"/>
        </w:rPr>
        <w:t>en sesión de fecha 31 de mayo</w:t>
      </w:r>
      <w:r w:rsidRPr="00D96478">
        <w:rPr>
          <w:rFonts w:ascii="Tahoma" w:hAnsi="Tahoma" w:cs="Tahoma"/>
          <w:sz w:val="23"/>
          <w:szCs w:val="23"/>
        </w:rPr>
        <w:t xml:space="preserve"> del 2011 la Primera Sala del Tribunal de Contrataciones </w:t>
      </w:r>
      <w:r>
        <w:rPr>
          <w:rFonts w:ascii="Tahoma" w:hAnsi="Tahoma" w:cs="Tahoma"/>
          <w:sz w:val="23"/>
          <w:szCs w:val="23"/>
        </w:rPr>
        <w:t>del Estado el Expediente N° 1379.2010</w:t>
      </w:r>
      <w:r w:rsidRPr="00D96478">
        <w:rPr>
          <w:rFonts w:ascii="Tahoma" w:hAnsi="Tahoma" w:cs="Tahoma"/>
          <w:sz w:val="23"/>
          <w:szCs w:val="23"/>
        </w:rPr>
        <w:t xml:space="preserve">-TC; sobre el procedimiento administrativo sancionador iniciado contra </w:t>
      </w:r>
      <w:r>
        <w:rPr>
          <w:rFonts w:ascii="Tahoma" w:hAnsi="Tahoma" w:cs="Tahoma"/>
          <w:sz w:val="23"/>
          <w:szCs w:val="23"/>
        </w:rPr>
        <w:t xml:space="preserve">la empresa </w:t>
      </w:r>
      <w:r w:rsidRPr="007872E9">
        <w:rPr>
          <w:rFonts w:ascii="Tahoma" w:hAnsi="Tahoma" w:cs="Tahoma"/>
          <w:sz w:val="22"/>
          <w:szCs w:val="22"/>
        </w:rPr>
        <w:t>M &amp; T CONSULTING PERU S.A.C.</w:t>
      </w:r>
      <w:r w:rsidRPr="00D96478">
        <w:rPr>
          <w:rFonts w:ascii="Tahoma" w:hAnsi="Tahoma" w:cs="Tahoma"/>
          <w:sz w:val="23"/>
          <w:szCs w:val="23"/>
        </w:rPr>
        <w:t xml:space="preserve">, </w:t>
      </w:r>
      <w:r w:rsidRPr="00D96478">
        <w:rPr>
          <w:rFonts w:ascii="Tahoma" w:eastAsia="MS Mincho" w:hAnsi="Tahoma" w:cs="Tahoma"/>
          <w:sz w:val="23"/>
          <w:szCs w:val="23"/>
        </w:rPr>
        <w:t>por</w:t>
      </w:r>
      <w:r w:rsidRPr="00AE659C">
        <w:rPr>
          <w:rFonts w:ascii="Tahoma" w:hAnsi="Tahoma" w:cs="Tahoma"/>
          <w:sz w:val="22"/>
          <w:szCs w:val="22"/>
          <w:lang w:val="es-PE"/>
        </w:rPr>
        <w:t xml:space="preserve"> </w:t>
      </w:r>
      <w:r>
        <w:rPr>
          <w:rFonts w:ascii="Tahoma" w:hAnsi="Tahoma" w:cs="Tahoma"/>
          <w:sz w:val="22"/>
          <w:szCs w:val="22"/>
          <w:lang w:val="es-PE"/>
        </w:rPr>
        <w:t>no haber suscrito injustificadamente el contrato derivado</w:t>
      </w:r>
      <w:r w:rsidRPr="00AE659C">
        <w:rPr>
          <w:rFonts w:ascii="Tahoma" w:hAnsi="Tahoma" w:cs="Tahoma"/>
          <w:sz w:val="22"/>
          <w:szCs w:val="22"/>
          <w:lang w:val="es-PE"/>
        </w:rPr>
        <w:t xml:space="preserve"> </w:t>
      </w:r>
      <w:r>
        <w:rPr>
          <w:rFonts w:ascii="Tahoma" w:hAnsi="Tahoma" w:cs="Tahoma"/>
          <w:sz w:val="22"/>
          <w:szCs w:val="22"/>
          <w:lang w:val="es-PE"/>
        </w:rPr>
        <w:t xml:space="preserve">del </w:t>
      </w:r>
      <w:r>
        <w:rPr>
          <w:rFonts w:ascii="Tahoma" w:hAnsi="Tahoma" w:cs="Tahoma"/>
          <w:sz w:val="22"/>
          <w:szCs w:val="22"/>
        </w:rPr>
        <w:t>Concurso Público Nº 001-2010-CEPLAN (Primera Convocatoria)</w:t>
      </w:r>
      <w:r w:rsidRPr="00A85917">
        <w:rPr>
          <w:rFonts w:ascii="Tahoma" w:hAnsi="Tahoma" w:cs="Tahoma"/>
          <w:sz w:val="23"/>
          <w:szCs w:val="23"/>
        </w:rPr>
        <w:t>.</w:t>
      </w:r>
    </w:p>
    <w:p w:rsidR="002B7AFB" w:rsidRPr="00A85917" w:rsidRDefault="002B7AFB" w:rsidP="002B7AFB">
      <w:pPr>
        <w:ind w:firstLine="567"/>
        <w:contextualSpacing/>
        <w:jc w:val="both"/>
        <w:rPr>
          <w:rFonts w:ascii="Tahoma" w:hAnsi="Tahoma" w:cs="Tahoma"/>
          <w:b/>
          <w:sz w:val="23"/>
          <w:szCs w:val="23"/>
          <w:lang w:val="es-ES_tradnl"/>
        </w:rPr>
      </w:pPr>
    </w:p>
    <w:p w:rsidR="002B7AFB" w:rsidRPr="00A85917" w:rsidRDefault="002B7AFB" w:rsidP="001255EB">
      <w:pPr>
        <w:pStyle w:val="Prrafodelista"/>
        <w:ind w:left="567"/>
        <w:rPr>
          <w:rFonts w:ascii="Tahoma" w:hAnsi="Tahoma" w:cs="Tahoma"/>
          <w:b/>
          <w:sz w:val="23"/>
          <w:szCs w:val="23"/>
        </w:rPr>
      </w:pPr>
      <w:r w:rsidRPr="00A85917">
        <w:rPr>
          <w:rFonts w:ascii="Tahoma" w:hAnsi="Tahoma" w:cs="Tahoma"/>
          <w:b/>
          <w:sz w:val="23"/>
          <w:szCs w:val="23"/>
        </w:rPr>
        <w:t>ANTECEDENTES:</w:t>
      </w:r>
    </w:p>
    <w:p w:rsidR="002B7AFB" w:rsidRPr="00A85917" w:rsidRDefault="002B7AFB" w:rsidP="002B7AFB">
      <w:pPr>
        <w:jc w:val="both"/>
        <w:rPr>
          <w:rFonts w:ascii="Tahoma" w:hAnsi="Tahoma" w:cs="Tahoma"/>
          <w:b/>
          <w:sz w:val="23"/>
          <w:szCs w:val="23"/>
          <w:lang w:eastAsia="es-PE"/>
        </w:rPr>
      </w:pPr>
    </w:p>
    <w:p w:rsidR="002B7AFB" w:rsidRPr="0077594E"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El 05 de julio</w:t>
      </w:r>
      <w:r w:rsidRPr="004F40D9">
        <w:rPr>
          <w:rFonts w:ascii="Tahoma" w:hAnsi="Tahoma" w:cs="Tahoma"/>
          <w:sz w:val="22"/>
          <w:szCs w:val="22"/>
        </w:rPr>
        <w:t xml:space="preserve"> de 20</w:t>
      </w:r>
      <w:r>
        <w:rPr>
          <w:rFonts w:ascii="Tahoma" w:hAnsi="Tahoma" w:cs="Tahoma"/>
          <w:sz w:val="22"/>
          <w:szCs w:val="22"/>
        </w:rPr>
        <w:t>1</w:t>
      </w:r>
      <w:r w:rsidRPr="004F40D9">
        <w:rPr>
          <w:rFonts w:ascii="Tahoma" w:hAnsi="Tahoma" w:cs="Tahoma"/>
          <w:sz w:val="22"/>
          <w:szCs w:val="22"/>
        </w:rPr>
        <w:t xml:space="preserve">0, el </w:t>
      </w:r>
      <w:r w:rsidRPr="00085EE0">
        <w:rPr>
          <w:rFonts w:ascii="Tahoma" w:hAnsi="Tahoma" w:cs="Tahoma"/>
          <w:sz w:val="22"/>
          <w:szCs w:val="22"/>
          <w:lang w:val="es-PE"/>
        </w:rPr>
        <w:t>CENTRO NACIONAL DE PLANEAMIENTO ESTRATÉGICO - CEPLAN</w:t>
      </w:r>
      <w:r w:rsidRPr="004F40D9">
        <w:rPr>
          <w:rFonts w:ascii="Tahoma" w:hAnsi="Tahoma" w:cs="Tahoma"/>
          <w:sz w:val="22"/>
          <w:szCs w:val="22"/>
        </w:rPr>
        <w:t xml:space="preserve">, en adelante la Entidad, convocó </w:t>
      </w:r>
      <w:r>
        <w:rPr>
          <w:rFonts w:ascii="Tahoma" w:hAnsi="Tahoma" w:cs="Tahoma"/>
          <w:sz w:val="22"/>
          <w:szCs w:val="22"/>
        </w:rPr>
        <w:t xml:space="preserve">al Concurso Público Nº 001-2010-CEPLAN (Primera Convocatoria), </w:t>
      </w:r>
      <w:r w:rsidRPr="004F40D9">
        <w:rPr>
          <w:rFonts w:ascii="Tahoma" w:hAnsi="Tahoma" w:cs="Tahoma"/>
          <w:sz w:val="22"/>
          <w:szCs w:val="22"/>
        </w:rPr>
        <w:t>para la “</w:t>
      </w:r>
      <w:r>
        <w:rPr>
          <w:rFonts w:ascii="Tahoma" w:hAnsi="Tahoma" w:cs="Tahoma"/>
          <w:sz w:val="22"/>
          <w:szCs w:val="22"/>
          <w:lang w:val="es-PE"/>
        </w:rPr>
        <w:t>Contratación del servicio del Sistema de Información Integrado</w:t>
      </w:r>
      <w:r w:rsidRPr="004F40D9">
        <w:rPr>
          <w:rFonts w:ascii="Tahoma" w:hAnsi="Tahoma" w:cs="Tahoma"/>
          <w:sz w:val="22"/>
          <w:szCs w:val="22"/>
        </w:rPr>
        <w:t xml:space="preserve">” por un valor referencial ascendente a </w:t>
      </w:r>
      <w:r>
        <w:rPr>
          <w:rFonts w:ascii="Tahoma" w:hAnsi="Tahoma" w:cs="Tahoma"/>
          <w:sz w:val="22"/>
          <w:szCs w:val="22"/>
        </w:rPr>
        <w:t>S/. 494,500.00</w:t>
      </w:r>
      <w:r>
        <w:rPr>
          <w:rFonts w:ascii="Tahoma" w:hAnsi="Tahoma" w:cs="Tahoma"/>
          <w:sz w:val="22"/>
          <w:szCs w:val="22"/>
          <w:lang w:val="es-PE"/>
        </w:rPr>
        <w:t xml:space="preserve"> (Cuatrocientos noventa y cuatro</w:t>
      </w:r>
      <w:r w:rsidRPr="0077594E">
        <w:rPr>
          <w:rFonts w:ascii="Tahoma" w:hAnsi="Tahoma" w:cs="Tahoma"/>
          <w:sz w:val="22"/>
          <w:szCs w:val="22"/>
          <w:lang w:val="es-PE"/>
        </w:rPr>
        <w:t xml:space="preserve"> </w:t>
      </w:r>
      <w:r>
        <w:rPr>
          <w:rFonts w:ascii="Tahoma" w:hAnsi="Tahoma" w:cs="Tahoma"/>
          <w:sz w:val="22"/>
          <w:szCs w:val="22"/>
          <w:lang w:val="es-PE"/>
        </w:rPr>
        <w:t>mil quinientos con 00</w:t>
      </w:r>
      <w:r w:rsidRPr="0077594E">
        <w:rPr>
          <w:rFonts w:ascii="Tahoma" w:hAnsi="Tahoma" w:cs="Tahoma"/>
          <w:sz w:val="22"/>
          <w:szCs w:val="22"/>
          <w:lang w:val="es-PE"/>
        </w:rPr>
        <w:t>/100 Nuevos Soles)</w:t>
      </w:r>
      <w:r w:rsidRPr="0077594E">
        <w:rPr>
          <w:rFonts w:ascii="Tahoma" w:hAnsi="Tahoma" w:cs="Tahoma"/>
          <w:sz w:val="22"/>
          <w:szCs w:val="22"/>
        </w:rPr>
        <w:t>.</w:t>
      </w:r>
    </w:p>
    <w:p w:rsidR="002B7AFB" w:rsidRPr="004F40D9" w:rsidRDefault="002B7AFB" w:rsidP="002B7AFB">
      <w:pPr>
        <w:pStyle w:val="Prrafodelista"/>
        <w:ind w:left="567"/>
        <w:contextualSpacing/>
        <w:jc w:val="both"/>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Con fecha 09 de agosto del 2010</w:t>
      </w:r>
      <w:r w:rsidRPr="004F40D9">
        <w:rPr>
          <w:rFonts w:ascii="Tahoma" w:hAnsi="Tahoma" w:cs="Tahoma"/>
          <w:sz w:val="22"/>
          <w:szCs w:val="22"/>
        </w:rPr>
        <w:t xml:space="preserve">, se llevó a cabo el acto </w:t>
      </w:r>
      <w:r>
        <w:rPr>
          <w:rFonts w:ascii="Tahoma" w:hAnsi="Tahoma" w:cs="Tahoma"/>
          <w:sz w:val="22"/>
          <w:szCs w:val="22"/>
        </w:rPr>
        <w:t xml:space="preserve">público de presentación de propuestas, en la cual se presentaron como postores la empresa GOBERNANZA CONSULTORES ASOCIADOS S.A.C. y la empresa </w:t>
      </w:r>
      <w:r w:rsidRPr="007872E9">
        <w:rPr>
          <w:rFonts w:ascii="Tahoma" w:hAnsi="Tahoma" w:cs="Tahoma"/>
          <w:sz w:val="22"/>
          <w:szCs w:val="22"/>
        </w:rPr>
        <w:t>M &amp; T CONSULTING PERU S.A.C.</w:t>
      </w:r>
    </w:p>
    <w:p w:rsidR="002B7AFB" w:rsidRPr="007872E9" w:rsidRDefault="002B7AFB" w:rsidP="002B7AFB">
      <w:pPr>
        <w:pStyle w:val="Prrafodelista"/>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 xml:space="preserve">El 12 de agosto del 2010, se público en el Sistema Electrónico de Contrataciones del Estado - SEACE, en la ficha de convocatoria del proceso de selección Concurso Público Nº 001-2010-CEPLAN (Primera Convocatoria), el Acta de Calificación y Evaluación de Propuestas Técnicas, en el cual se consignó que la propuesta de la empresa GOBERNANZA CONSULTORES ASOCIADOS S.A.C. no ha sido admitida, en razón a que no contaba con el documento registral que acreditara la participación de la empresa consorciada XPERTA. </w:t>
      </w:r>
    </w:p>
    <w:p w:rsidR="002B7AFB" w:rsidRPr="007872E9" w:rsidRDefault="002B7AFB" w:rsidP="002B7AFB">
      <w:pPr>
        <w:pStyle w:val="Prrafodelista"/>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 xml:space="preserve">Con fecha 12 de agosto del 2010, se realizo el acto público de otorgamiento de la Buena Pro, la misma que fue adjudicada a favor de la empresa </w:t>
      </w:r>
      <w:r w:rsidRPr="007872E9">
        <w:rPr>
          <w:rFonts w:ascii="Tahoma" w:hAnsi="Tahoma" w:cs="Tahoma"/>
          <w:sz w:val="22"/>
          <w:szCs w:val="22"/>
        </w:rPr>
        <w:t>M &amp; T CONSULTING PERU S.A.C.</w:t>
      </w:r>
      <w:r>
        <w:rPr>
          <w:rFonts w:ascii="Tahoma" w:hAnsi="Tahoma" w:cs="Tahoma"/>
          <w:sz w:val="22"/>
          <w:szCs w:val="22"/>
        </w:rPr>
        <w:t>, en adelante el Postor.</w:t>
      </w:r>
    </w:p>
    <w:p w:rsidR="002B7AFB" w:rsidRPr="006A5927" w:rsidRDefault="002B7AFB" w:rsidP="002B7AFB">
      <w:pPr>
        <w:pStyle w:val="Prrafodelista"/>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A través de la Carta Nº 048-2010/CEPLAN-OGA de fecha 17 de agosto del 2010, la Entidad solicitó al Postor los documentos para la suscripción de contrato, en aplicación de los artículo 139 y 148 del Reglamento de la Ley de Contrataciones del Estado.</w:t>
      </w:r>
    </w:p>
    <w:p w:rsidR="002B7AFB" w:rsidRPr="007872E9" w:rsidRDefault="002B7AFB" w:rsidP="002B7AFB">
      <w:pPr>
        <w:pStyle w:val="Prrafodelista"/>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lastRenderedPageBreak/>
        <w:t>Mediante Carta Nº 0173-2010 – M &amp;T/GG de fecha 24 de agosto del 2010, el Postor solicitó la ampliación del plazo para presentar la documentación a fin de suscribir el contrato respectivo.</w:t>
      </w:r>
    </w:p>
    <w:p w:rsidR="002B7AFB" w:rsidRPr="006A5927" w:rsidRDefault="002B7AFB" w:rsidP="002B7AFB">
      <w:pPr>
        <w:pStyle w:val="Prrafodelista"/>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A través de la Carta Nº 0178-2010 – M&amp;T/GG de fecha 24 de agosto del 2010, el Postor remitió a la Entidad los documentos para la suscripción del contrato, consignando que respecto a la garantía de fiel cumplimiento, se acogen al artículo 39 de la Ley de Contrataciones del Estado por ser pequeña y/ o mediana empresa.</w:t>
      </w:r>
    </w:p>
    <w:p w:rsidR="002B7AFB" w:rsidRPr="006A5927" w:rsidRDefault="002B7AFB" w:rsidP="002B7AFB">
      <w:pPr>
        <w:contextualSpacing/>
        <w:jc w:val="both"/>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Con Carta Nº 51-2010-CEPLAN/OGA de fecha 25 de agosto del 2010, la Entidad informó al Postor que la solicitud de ampliación del plazo para presentar los documentos solicitados no procede.</w:t>
      </w:r>
    </w:p>
    <w:p w:rsidR="002B7AFB" w:rsidRPr="00ED0B4F" w:rsidRDefault="002B7AFB" w:rsidP="002B7AFB">
      <w:pPr>
        <w:rPr>
          <w:rFonts w:ascii="Tahoma" w:hAnsi="Tahoma" w:cs="Tahoma"/>
          <w:sz w:val="22"/>
          <w:szCs w:val="22"/>
        </w:rPr>
      </w:pPr>
    </w:p>
    <w:p w:rsidR="002B7AFB" w:rsidRPr="004F40D9" w:rsidRDefault="002B7AFB" w:rsidP="002B7AFB">
      <w:pPr>
        <w:pStyle w:val="Prrafodelista"/>
        <w:ind w:left="567"/>
        <w:contextualSpacing/>
        <w:jc w:val="both"/>
        <w:rPr>
          <w:rFonts w:ascii="Tahoma" w:hAnsi="Tahoma" w:cs="Tahoma"/>
          <w:sz w:val="22"/>
          <w:szCs w:val="22"/>
        </w:rPr>
      </w:pPr>
      <w:r>
        <w:rPr>
          <w:rFonts w:ascii="Tahoma" w:hAnsi="Tahoma" w:cs="Tahoma"/>
          <w:sz w:val="22"/>
          <w:szCs w:val="22"/>
        </w:rPr>
        <w:t>Asimismo, señaló que tampoco es procedente que el Postor no presente la carta fianza de fiel cumplimiento, por acogerse al artículo 39 de la Ley de Contrataciones del Estado, toda vez que la prestación del servicio no es de ejecución periódica.</w:t>
      </w:r>
    </w:p>
    <w:p w:rsidR="002B7AFB" w:rsidRDefault="002B7AFB" w:rsidP="002B7AFB">
      <w:pPr>
        <w:pStyle w:val="Prrafodelista"/>
        <w:ind w:left="567"/>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A través de la Carta Notarial Nº 183-2010 – M&amp;T/GG de fecha 31 de agosto del 2010, el Postor solicitó a la Entidad que lo cite para la suscripción del contrato, al señalar que la Carta Nº 048-2010/CEPLAN-OGA de fecha 17 de agosto del 2010, de ninguna manera puede ser interpretada como una citación a suscribir el contrato, toda vez que, por medio de ella, sólo se le solicitó el envío de determinada documentación, otorgándole un plazo de 5 días hábiles, acto que no se encuadra dentro del procedimiento formal establecido en las normas de contrataciones públicas.</w:t>
      </w:r>
    </w:p>
    <w:p w:rsidR="002B7AFB" w:rsidRDefault="002B7AFB" w:rsidP="002B7AFB">
      <w:pPr>
        <w:pStyle w:val="Prrafodelista"/>
        <w:ind w:left="567"/>
        <w:contextualSpacing/>
        <w:jc w:val="both"/>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Mediante Carta Nº 054-2010-CEPLAN/OGA de fecha 02 de setiembre del 2010, la Entidad señaló que la Carta Nº 048-2010/CEPLAN-OGA de fecha 17 de agosto del 2010, se indicó expresamente que el plazo para la presentación de la documentación solicitada era en aplicación de lo dispuesto en los artículo 139 y 148 del Reglamento de la Ley de Contrataciones del Estado, los mismos que están referidos a la suscripción del contrato, es decir que dentro del plazo otorgado de cinco (05) días hábiles correspondía que el Postor se presentará con la documentación requerida a efectos de suscribir el contrato respectivo.</w:t>
      </w:r>
    </w:p>
    <w:p w:rsidR="002B7AFB" w:rsidRPr="00563685" w:rsidRDefault="002B7AFB" w:rsidP="002B7AFB">
      <w:pPr>
        <w:pStyle w:val="Prrafodelista"/>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A través de la Carta Notarial Nº 184-2010 – M&amp;T/GG de fecha 03 de setiembre del 2010, el Postor reiteró su requerimiento a efectos de ser citado para la suscripción del contrato.</w:t>
      </w:r>
    </w:p>
    <w:p w:rsidR="002B7AFB" w:rsidRPr="00563685" w:rsidRDefault="002B7AFB" w:rsidP="002B7AFB">
      <w:pPr>
        <w:pStyle w:val="Prrafodelista"/>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Con Carta Nº 056-2010-CEPLAN/OGA de fecha 09 de setiembre del 2010, la Entidad señaló que no se pudo celebrar el contrato al no haber presentado el Postor la documentación solicitada dentro del plazo fijado para la suscripción del mismo, hecho que motivó la pérdida de la Buena Pro.</w:t>
      </w:r>
    </w:p>
    <w:p w:rsidR="002B7AFB" w:rsidRPr="00563685" w:rsidRDefault="002B7AFB" w:rsidP="002B7AFB">
      <w:pPr>
        <w:rPr>
          <w:rFonts w:ascii="Tahoma" w:hAnsi="Tahoma" w:cs="Tahoma"/>
          <w:sz w:val="22"/>
          <w:szCs w:val="22"/>
        </w:rPr>
      </w:pPr>
    </w:p>
    <w:p w:rsidR="002B7AFB" w:rsidRPr="00563685" w:rsidRDefault="002B7AFB" w:rsidP="002B7AFB">
      <w:pPr>
        <w:ind w:left="567"/>
        <w:contextualSpacing/>
        <w:jc w:val="both"/>
        <w:rPr>
          <w:rFonts w:ascii="Tahoma" w:hAnsi="Tahoma" w:cs="Tahoma"/>
          <w:sz w:val="22"/>
          <w:szCs w:val="22"/>
        </w:rPr>
      </w:pPr>
      <w:r>
        <w:rPr>
          <w:rFonts w:ascii="Tahoma" w:hAnsi="Tahoma" w:cs="Tahoma"/>
          <w:sz w:val="22"/>
          <w:szCs w:val="22"/>
        </w:rPr>
        <w:t>Asimismo, reiteró que el plazo para la suscripción del contrato fue establecido en las bases, dentro del margen de discrecionalidad que le corresponde a la Entidad, por lo cual se le otorgó al Postor un plazo cinco (05) días hábiles para la celebración del contrato, plazo dentro del cual debía alcanzar la documentación señalada en la Carta Nº 048-2010/CEPLAN – OGA.</w:t>
      </w:r>
    </w:p>
    <w:p w:rsidR="002B7AFB" w:rsidRDefault="002B7AFB" w:rsidP="002B7AFB">
      <w:pPr>
        <w:pStyle w:val="Prrafodelista"/>
        <w:ind w:left="567"/>
        <w:contextualSpacing/>
        <w:jc w:val="both"/>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A través del Oficio Nº 149-2010-CEPLAN/OGA presentado el 29 de setiembre del 2010 y el Oficio Nº 151-2010-CEPLAN/OGA, presentado el 01 de octubre del 2010, la Entidad puso en conocimiento de este Tribunal, los hechos antes expuestos.</w:t>
      </w: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Mediante decreto de fecha 06 de octubre del 2010, se inicio procedimiento administrativo sancionador contra el Postor, por presunta responsabilidad al no haber suscrito el contrato injustificadamente, derivado del Concurso Público Nº 001-2010-CEPLAN – Primera Convocatoria. Asimismo, se le otorgó un plazo de diez (10) días hábiles, a fin que el Postor presente sus descargos.</w:t>
      </w:r>
    </w:p>
    <w:p w:rsidR="002B7AFB" w:rsidRDefault="002B7AFB" w:rsidP="002B7AFB">
      <w:pPr>
        <w:pStyle w:val="Prrafodelista"/>
        <w:ind w:left="567"/>
        <w:contextualSpacing/>
        <w:jc w:val="both"/>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Con escritos presentados el 18 y 21 de febrero del 2010, respectivamente, el Postor presentó sus descargos, bajo los siguientes argumentos:</w:t>
      </w:r>
    </w:p>
    <w:p w:rsidR="002B7AFB" w:rsidRPr="00E668FC" w:rsidRDefault="002B7AFB" w:rsidP="002B7AFB">
      <w:pPr>
        <w:rPr>
          <w:rFonts w:ascii="Tahoma" w:hAnsi="Tahoma" w:cs="Tahoma"/>
          <w:sz w:val="22"/>
          <w:szCs w:val="22"/>
        </w:rPr>
      </w:pPr>
    </w:p>
    <w:p w:rsidR="002B7AFB" w:rsidRDefault="002B7AFB" w:rsidP="002B7AFB">
      <w:pPr>
        <w:pStyle w:val="Prrafodelista"/>
        <w:widowControl/>
        <w:numPr>
          <w:ilvl w:val="0"/>
          <w:numId w:val="6"/>
        </w:numPr>
        <w:suppressAutoHyphens w:val="0"/>
        <w:ind w:left="993" w:hanging="426"/>
        <w:contextualSpacing/>
        <w:jc w:val="both"/>
        <w:rPr>
          <w:rFonts w:ascii="Tahoma" w:hAnsi="Tahoma" w:cs="Tahoma"/>
          <w:sz w:val="22"/>
          <w:szCs w:val="22"/>
        </w:rPr>
      </w:pPr>
      <w:r>
        <w:rPr>
          <w:rFonts w:ascii="Tahoma" w:hAnsi="Tahoma" w:cs="Tahoma"/>
          <w:sz w:val="22"/>
          <w:szCs w:val="22"/>
        </w:rPr>
        <w:t>En ninguna de las comunicaciones remitidas por la Entidad, se le citó para que concurriera a sus instalaciones a fin de suscribir el respectivo contrato; no obstante ello, cumplió con el envió de la documentación solicitada por la Entidad dentro del plazo discrecional otorgado.</w:t>
      </w:r>
    </w:p>
    <w:p w:rsidR="002B7AFB" w:rsidRDefault="002B7AFB" w:rsidP="002B7AFB">
      <w:pPr>
        <w:pStyle w:val="Prrafodelista"/>
        <w:ind w:left="993" w:hanging="426"/>
        <w:contextualSpacing/>
        <w:jc w:val="both"/>
        <w:rPr>
          <w:rFonts w:ascii="Tahoma" w:hAnsi="Tahoma" w:cs="Tahoma"/>
          <w:sz w:val="22"/>
          <w:szCs w:val="22"/>
        </w:rPr>
      </w:pPr>
    </w:p>
    <w:p w:rsidR="002B7AFB" w:rsidRDefault="002B7AFB" w:rsidP="002B7AFB">
      <w:pPr>
        <w:pStyle w:val="Prrafodelista"/>
        <w:widowControl/>
        <w:numPr>
          <w:ilvl w:val="0"/>
          <w:numId w:val="6"/>
        </w:numPr>
        <w:suppressAutoHyphens w:val="0"/>
        <w:ind w:left="993" w:hanging="426"/>
        <w:contextualSpacing/>
        <w:jc w:val="both"/>
        <w:rPr>
          <w:rFonts w:ascii="Tahoma" w:hAnsi="Tahoma" w:cs="Tahoma"/>
          <w:sz w:val="22"/>
          <w:szCs w:val="22"/>
        </w:rPr>
      </w:pPr>
      <w:r>
        <w:rPr>
          <w:rFonts w:ascii="Tahoma" w:hAnsi="Tahoma" w:cs="Tahoma"/>
          <w:sz w:val="22"/>
          <w:szCs w:val="22"/>
        </w:rPr>
        <w:t>Asimismo, obtuvo oportunamente la Carta Fianza de fiel cumplimiento que debía ser entrega a la Entidad una vez que fuera citada para suscribir el contrato, lo cual nunca ocurrió.</w:t>
      </w:r>
    </w:p>
    <w:p w:rsidR="002B7AFB" w:rsidRDefault="002B7AFB" w:rsidP="002B7AFB">
      <w:pPr>
        <w:pStyle w:val="Prrafodelista"/>
        <w:ind w:left="993" w:hanging="426"/>
        <w:contextualSpacing/>
        <w:jc w:val="both"/>
        <w:rPr>
          <w:rFonts w:ascii="Tahoma" w:hAnsi="Tahoma" w:cs="Tahoma"/>
          <w:sz w:val="22"/>
          <w:szCs w:val="22"/>
        </w:rPr>
      </w:pPr>
    </w:p>
    <w:p w:rsidR="002B7AFB" w:rsidRDefault="002B7AFB" w:rsidP="002B7AFB">
      <w:pPr>
        <w:pStyle w:val="Prrafodelista"/>
        <w:widowControl/>
        <w:numPr>
          <w:ilvl w:val="0"/>
          <w:numId w:val="6"/>
        </w:numPr>
        <w:suppressAutoHyphens w:val="0"/>
        <w:ind w:left="993" w:hanging="426"/>
        <w:contextualSpacing/>
        <w:jc w:val="both"/>
        <w:rPr>
          <w:rFonts w:ascii="Tahoma" w:hAnsi="Tahoma" w:cs="Tahoma"/>
          <w:sz w:val="22"/>
          <w:szCs w:val="22"/>
        </w:rPr>
      </w:pPr>
      <w:r>
        <w:rPr>
          <w:rFonts w:ascii="Tahoma" w:hAnsi="Tahoma" w:cs="Tahoma"/>
          <w:sz w:val="22"/>
          <w:szCs w:val="22"/>
        </w:rPr>
        <w:t>Así también, señaló que en el supuesto que hubiera omitido el envió de la documentación solicitada por la Entidad, ello no supondría una causal legal para que se deje sin efecto la Buena Pro otorgada, toda vez que si bien es cierto resulta válido que la Entidad fije un plazo referencia para que el postor presente cierta documentación con antelación a la suscripción, en ningún caso el incumplimiento del postor de enviar dicha documentación puede generar la pérdida de la Buena Pro.</w:t>
      </w:r>
    </w:p>
    <w:p w:rsidR="002B7AFB" w:rsidRDefault="002B7AFB" w:rsidP="002B7AFB">
      <w:pPr>
        <w:pStyle w:val="Prrafodelista"/>
        <w:ind w:left="993" w:hanging="426"/>
        <w:contextualSpacing/>
        <w:jc w:val="both"/>
        <w:rPr>
          <w:rFonts w:ascii="Tahoma" w:hAnsi="Tahoma" w:cs="Tahoma"/>
          <w:sz w:val="22"/>
          <w:szCs w:val="22"/>
        </w:rPr>
      </w:pPr>
    </w:p>
    <w:p w:rsidR="002B7AFB" w:rsidRDefault="002B7AFB" w:rsidP="002B7AFB">
      <w:pPr>
        <w:pStyle w:val="Prrafodelista"/>
        <w:widowControl/>
        <w:numPr>
          <w:ilvl w:val="0"/>
          <w:numId w:val="6"/>
        </w:numPr>
        <w:suppressAutoHyphens w:val="0"/>
        <w:ind w:left="993" w:hanging="426"/>
        <w:contextualSpacing/>
        <w:jc w:val="both"/>
        <w:rPr>
          <w:rFonts w:ascii="Tahoma" w:hAnsi="Tahoma" w:cs="Tahoma"/>
          <w:sz w:val="22"/>
          <w:szCs w:val="22"/>
        </w:rPr>
      </w:pPr>
      <w:r>
        <w:rPr>
          <w:rFonts w:ascii="Tahoma" w:hAnsi="Tahoma" w:cs="Tahoma"/>
          <w:sz w:val="22"/>
          <w:szCs w:val="22"/>
        </w:rPr>
        <w:t>Finalmente, señaló que ha actuado con diligencia y dentro del procedimiento legal que le corresponde, sin que le resulta atribuible la causal que determinó la no suscripción del contrato, por el contrario, la negativa injustificada de la Entidad para citarlo a fin de suscribir dicho contrato, ha generado perdida de los beneficios que habría sido percibidos, de haberse ejecutado el servicio objeto de contratación.</w:t>
      </w:r>
    </w:p>
    <w:p w:rsidR="002B7AFB" w:rsidRDefault="002B7AFB" w:rsidP="002B7AFB">
      <w:pPr>
        <w:pStyle w:val="Prrafodelista"/>
        <w:ind w:left="567"/>
        <w:contextualSpacing/>
        <w:jc w:val="both"/>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lastRenderedPageBreak/>
        <w:t>A través del decreto de fecha 22 de febrero del 2011, se tuvo por apersonado al Postor, por presentado sus descargos y por señalado su domicilio procesal, remitiéndose el presente expediente a la Primera Sala del Tribunal para que resuelva.</w:t>
      </w:r>
    </w:p>
    <w:p w:rsidR="002B7AFB" w:rsidRDefault="002B7AFB" w:rsidP="002B7AFB">
      <w:pPr>
        <w:pStyle w:val="Prrafodelista"/>
        <w:ind w:left="567"/>
        <w:contextualSpacing/>
        <w:jc w:val="both"/>
        <w:rPr>
          <w:rFonts w:ascii="Tahoma" w:hAnsi="Tahoma" w:cs="Tahoma"/>
          <w:sz w:val="22"/>
          <w:szCs w:val="22"/>
        </w:rPr>
      </w:pPr>
    </w:p>
    <w:p w:rsidR="002B7AFB" w:rsidRDefault="002B7AFB" w:rsidP="002B7AFB">
      <w:pPr>
        <w:pStyle w:val="Prrafodelista"/>
        <w:widowControl/>
        <w:numPr>
          <w:ilvl w:val="0"/>
          <w:numId w:val="3"/>
        </w:numPr>
        <w:suppressAutoHyphens w:val="0"/>
        <w:ind w:left="567" w:hanging="567"/>
        <w:contextualSpacing/>
        <w:jc w:val="both"/>
        <w:rPr>
          <w:rFonts w:ascii="Tahoma" w:hAnsi="Tahoma" w:cs="Tahoma"/>
          <w:sz w:val="22"/>
          <w:szCs w:val="22"/>
        </w:rPr>
      </w:pPr>
      <w:r>
        <w:rPr>
          <w:rFonts w:ascii="Tahoma" w:hAnsi="Tahoma" w:cs="Tahoma"/>
          <w:sz w:val="22"/>
          <w:szCs w:val="22"/>
        </w:rPr>
        <w:t>Mediante escrito presentado el 22 de marzo del 2011, la Entidad señaló lo siguiente:</w:t>
      </w:r>
    </w:p>
    <w:p w:rsidR="002B7AFB" w:rsidRPr="008A5E0B" w:rsidRDefault="002B7AFB" w:rsidP="002B7AFB">
      <w:pPr>
        <w:pStyle w:val="Prrafodelista"/>
        <w:rPr>
          <w:rFonts w:ascii="Tahoma" w:hAnsi="Tahoma" w:cs="Tahoma"/>
          <w:sz w:val="22"/>
          <w:szCs w:val="22"/>
        </w:rPr>
      </w:pPr>
    </w:p>
    <w:p w:rsidR="002B7AFB" w:rsidRDefault="002B7AFB" w:rsidP="002B7AFB">
      <w:pPr>
        <w:pStyle w:val="Prrafodelista"/>
        <w:widowControl/>
        <w:numPr>
          <w:ilvl w:val="0"/>
          <w:numId w:val="7"/>
        </w:numPr>
        <w:suppressAutoHyphens w:val="0"/>
        <w:ind w:left="1134" w:hanging="567"/>
        <w:contextualSpacing/>
        <w:jc w:val="both"/>
        <w:rPr>
          <w:rFonts w:ascii="Tahoma" w:hAnsi="Tahoma" w:cs="Tahoma"/>
          <w:sz w:val="22"/>
          <w:szCs w:val="22"/>
        </w:rPr>
      </w:pPr>
      <w:r>
        <w:rPr>
          <w:rFonts w:ascii="Tahoma" w:hAnsi="Tahoma" w:cs="Tahoma"/>
          <w:sz w:val="22"/>
          <w:szCs w:val="22"/>
        </w:rPr>
        <w:t>El Postor no puede ignorar que el plazo de cinco días hábiles para la presentación de documentos, señalado en la Carta Nº 048-2010/CEPLAN-OGA, plazo que venció el día 24 de agosto del 2010, también fue para la suscripción del contrato, toda vez que en dicha carta se hizo referencia a los artículo 139 y 148 del Reglamento, el mismo que establece el procedimiento para suscribir el contrato y, además, en el numeral 2.8 y 3.1 de las Bases, expresamente se establecía que el postor ganador de la Buena Pro deberá presentar toda la documentación requerida para la suscripción del contrato en el plazo de 05 días hábiles; máxime cuando en el numeral 2 de la Declaración Jurada contenida en el Anexo Nº 03 de su Propuesta, declaró conocer, aceptar y someterse a las Bases, condiciones y procedimientos del proceso de selección.</w:t>
      </w:r>
    </w:p>
    <w:p w:rsidR="002B7AFB" w:rsidRPr="000E383B" w:rsidRDefault="002B7AFB" w:rsidP="002B7AFB">
      <w:pPr>
        <w:pStyle w:val="Prrafodelista"/>
        <w:ind w:left="1134" w:hanging="567"/>
        <w:rPr>
          <w:rFonts w:ascii="Tahoma" w:hAnsi="Tahoma" w:cs="Tahoma"/>
          <w:sz w:val="22"/>
          <w:szCs w:val="22"/>
        </w:rPr>
      </w:pPr>
    </w:p>
    <w:p w:rsidR="002B7AFB" w:rsidRDefault="002B7AFB" w:rsidP="002B7AFB">
      <w:pPr>
        <w:pStyle w:val="Prrafodelista"/>
        <w:widowControl/>
        <w:numPr>
          <w:ilvl w:val="0"/>
          <w:numId w:val="7"/>
        </w:numPr>
        <w:suppressAutoHyphens w:val="0"/>
        <w:ind w:left="1134" w:hanging="567"/>
        <w:contextualSpacing/>
        <w:jc w:val="both"/>
        <w:rPr>
          <w:rFonts w:ascii="Tahoma" w:hAnsi="Tahoma" w:cs="Tahoma"/>
          <w:sz w:val="22"/>
          <w:szCs w:val="22"/>
        </w:rPr>
      </w:pPr>
      <w:r>
        <w:rPr>
          <w:rFonts w:ascii="Tahoma" w:hAnsi="Tahoma" w:cs="Tahoma"/>
          <w:sz w:val="22"/>
          <w:szCs w:val="22"/>
        </w:rPr>
        <w:t>En tal sentido, la Entidad negó que no se haya citado al Postor para suscribir el contrato, por el contrario, al no cumplir éste con presentar los documentos requeridos legalmente, no era posible suscribir el contrato al no contarse con la documentación exigida por el Reglamento de la Ley de Contrataciones del Estado y las Bases del Concurso Público.</w:t>
      </w:r>
    </w:p>
    <w:p w:rsidR="002B7AFB" w:rsidRDefault="002B7AFB" w:rsidP="002B7AFB">
      <w:pPr>
        <w:pStyle w:val="Prrafodelista"/>
        <w:ind w:left="1134" w:hanging="567"/>
        <w:contextualSpacing/>
        <w:jc w:val="both"/>
        <w:rPr>
          <w:rFonts w:ascii="Tahoma" w:hAnsi="Tahoma" w:cs="Tahoma"/>
          <w:sz w:val="22"/>
          <w:szCs w:val="22"/>
        </w:rPr>
      </w:pPr>
    </w:p>
    <w:p w:rsidR="002B7AFB" w:rsidRDefault="002B7AFB" w:rsidP="002B7AFB">
      <w:pPr>
        <w:pStyle w:val="Prrafodelista"/>
        <w:widowControl/>
        <w:numPr>
          <w:ilvl w:val="0"/>
          <w:numId w:val="7"/>
        </w:numPr>
        <w:suppressAutoHyphens w:val="0"/>
        <w:ind w:left="1134" w:hanging="567"/>
        <w:contextualSpacing/>
        <w:jc w:val="both"/>
        <w:rPr>
          <w:rFonts w:ascii="Tahoma" w:hAnsi="Tahoma" w:cs="Tahoma"/>
          <w:sz w:val="22"/>
          <w:szCs w:val="22"/>
        </w:rPr>
      </w:pPr>
      <w:r>
        <w:rPr>
          <w:rFonts w:ascii="Tahoma" w:hAnsi="Tahoma" w:cs="Tahoma"/>
          <w:sz w:val="22"/>
          <w:szCs w:val="22"/>
        </w:rPr>
        <w:t>Asimismo, señaló que el Postor no estaba en condiciones y aptitud legal para la firma del contrato en la fecha establecida, es decir el 24 de agosto del 2010, toda vez que a las 5:15 pm de ese día, remitió la Carta Nº 0178-2010-M&amp;T/GG, en la cual adjuntó una serie de documentos, sin que presente entre ellos, la garantía de fiel cumplimiento, alegando el artículo 39 de la Ley de Contrataciones del Estado, relativo a la pequeña y/o mediana empresa, resultando dicha alegación totalmente infundada ya que por el objeto de servicio materia del concurso no era procedente, toda vez que sólo procede para los contratos periódicos de suministro de bienes o de prestación de servicios.</w:t>
      </w:r>
    </w:p>
    <w:p w:rsidR="002B7AFB" w:rsidRDefault="002B7AFB" w:rsidP="002B7AFB">
      <w:pPr>
        <w:pStyle w:val="Prrafodelista"/>
        <w:ind w:left="1134" w:hanging="567"/>
        <w:contextualSpacing/>
        <w:jc w:val="both"/>
        <w:rPr>
          <w:rFonts w:ascii="Tahoma" w:hAnsi="Tahoma" w:cs="Tahoma"/>
          <w:sz w:val="22"/>
          <w:szCs w:val="22"/>
        </w:rPr>
      </w:pPr>
    </w:p>
    <w:p w:rsidR="002B7AFB" w:rsidRDefault="002B7AFB" w:rsidP="002B7AFB">
      <w:pPr>
        <w:pStyle w:val="Prrafodelista"/>
        <w:widowControl/>
        <w:numPr>
          <w:ilvl w:val="0"/>
          <w:numId w:val="7"/>
        </w:numPr>
        <w:suppressAutoHyphens w:val="0"/>
        <w:ind w:left="1134" w:hanging="567"/>
        <w:contextualSpacing/>
        <w:jc w:val="both"/>
        <w:rPr>
          <w:rFonts w:ascii="Tahoma" w:hAnsi="Tahoma" w:cs="Tahoma"/>
          <w:sz w:val="22"/>
          <w:szCs w:val="22"/>
        </w:rPr>
      </w:pPr>
      <w:r>
        <w:rPr>
          <w:rFonts w:ascii="Tahoma" w:hAnsi="Tahoma" w:cs="Tahoma"/>
          <w:sz w:val="22"/>
          <w:szCs w:val="22"/>
        </w:rPr>
        <w:t xml:space="preserve">Así también, indicó que el Postor nunca presentó la Carta Fianza de garantía del cumplimiento del contrato y, recién con fecha 31 de agosto del 2010, con su Carta Nº 183-2010 – M6T/GG, les ofrecieron presentar la Carta Fianza Nº 0216-2010 emitida por el Banco de la Microempresa S.A., es decir una vez vencido el plazo señalado en las Bases del proceso de selección para la suscripción del contrato y después que con fecha 25 de agosto del 2010, mediante Carta Nº 51-2010-CEPLAN/OGA se le comunicó </w:t>
      </w:r>
      <w:r>
        <w:rPr>
          <w:rFonts w:ascii="Tahoma" w:hAnsi="Tahoma" w:cs="Tahoma"/>
          <w:sz w:val="22"/>
          <w:szCs w:val="22"/>
        </w:rPr>
        <w:lastRenderedPageBreak/>
        <w:t>la perdida de la Buena Pro, en aplicación del numeral 2 del artículo 145 del Reglamento de Contrataciones del Estado.</w:t>
      </w:r>
    </w:p>
    <w:p w:rsidR="002B7AFB" w:rsidRDefault="002B7AFB" w:rsidP="002B7AFB">
      <w:pPr>
        <w:pStyle w:val="Prrafodelista"/>
        <w:ind w:left="1134" w:hanging="567"/>
        <w:contextualSpacing/>
        <w:jc w:val="both"/>
        <w:rPr>
          <w:rFonts w:ascii="Tahoma" w:hAnsi="Tahoma" w:cs="Tahoma"/>
          <w:sz w:val="22"/>
          <w:szCs w:val="22"/>
        </w:rPr>
      </w:pPr>
    </w:p>
    <w:p w:rsidR="002B7AFB" w:rsidRDefault="002B7AFB" w:rsidP="002B7AFB">
      <w:pPr>
        <w:pStyle w:val="Prrafodelista"/>
        <w:widowControl/>
        <w:numPr>
          <w:ilvl w:val="0"/>
          <w:numId w:val="7"/>
        </w:numPr>
        <w:suppressAutoHyphens w:val="0"/>
        <w:ind w:left="1134" w:hanging="567"/>
        <w:contextualSpacing/>
        <w:jc w:val="both"/>
        <w:rPr>
          <w:rFonts w:ascii="Tahoma" w:hAnsi="Tahoma" w:cs="Tahoma"/>
          <w:sz w:val="22"/>
          <w:szCs w:val="22"/>
        </w:rPr>
      </w:pPr>
      <w:r>
        <w:rPr>
          <w:rFonts w:ascii="Tahoma" w:hAnsi="Tahoma" w:cs="Tahoma"/>
          <w:sz w:val="22"/>
          <w:szCs w:val="22"/>
        </w:rPr>
        <w:t>Finalmente, señalo que la Opinión Nº 006-2010/DTN de fecha 29 de enero del 2010, que hace referencia el Postor en su descargo, se refiere a otro supuesto, referido cuando la entidad ha dado un plazo diferencia para presentar los documentos y para firmar el contrato, y no cuando coinciden, como es el presente caso, en el cual se fijó cinco días hábiles para presentar los documentos necesarios para la firma del contrato.</w:t>
      </w:r>
    </w:p>
    <w:p w:rsidR="002B7AFB" w:rsidRPr="000E22C8" w:rsidRDefault="002B7AFB" w:rsidP="002B7AFB">
      <w:pPr>
        <w:rPr>
          <w:rFonts w:ascii="Tahoma" w:hAnsi="Tahoma" w:cs="Tahoma"/>
          <w:b/>
          <w:sz w:val="23"/>
          <w:szCs w:val="23"/>
          <w:lang w:val="es-ES_tradnl"/>
        </w:rPr>
      </w:pPr>
    </w:p>
    <w:p w:rsidR="002B7AFB" w:rsidRPr="00A85917" w:rsidRDefault="002B7AFB" w:rsidP="001255EB">
      <w:pPr>
        <w:pStyle w:val="Prrafodelista"/>
        <w:ind w:left="567"/>
        <w:rPr>
          <w:rFonts w:ascii="Tahoma" w:hAnsi="Tahoma" w:cs="Tahoma"/>
          <w:b/>
          <w:sz w:val="23"/>
          <w:szCs w:val="23"/>
        </w:rPr>
      </w:pPr>
      <w:r w:rsidRPr="00A85917">
        <w:rPr>
          <w:rFonts w:ascii="Tahoma" w:hAnsi="Tahoma" w:cs="Tahoma"/>
          <w:b/>
          <w:sz w:val="23"/>
          <w:szCs w:val="23"/>
        </w:rPr>
        <w:t>FUNDAMENTACIÓN</w:t>
      </w:r>
    </w:p>
    <w:p w:rsidR="002B7AFB" w:rsidRPr="00A85917" w:rsidRDefault="002B7AFB" w:rsidP="002B7AFB">
      <w:pPr>
        <w:ind w:left="426"/>
        <w:jc w:val="both"/>
        <w:rPr>
          <w:rFonts w:ascii="Tahoma" w:hAnsi="Tahoma" w:cs="Tahoma"/>
          <w:sz w:val="23"/>
          <w:szCs w:val="23"/>
          <w:lang w:eastAsia="es-PE"/>
        </w:rPr>
      </w:pPr>
    </w:p>
    <w:p w:rsidR="002B7AFB" w:rsidRDefault="002B7AFB" w:rsidP="002B7AFB">
      <w:pPr>
        <w:pStyle w:val="Prrafodelista"/>
        <w:widowControl/>
        <w:numPr>
          <w:ilvl w:val="0"/>
          <w:numId w:val="8"/>
        </w:numPr>
        <w:suppressAutoHyphens w:val="0"/>
        <w:ind w:left="567" w:hanging="567"/>
        <w:contextualSpacing/>
        <w:jc w:val="both"/>
        <w:rPr>
          <w:rFonts w:ascii="Tahoma" w:eastAsia="Calibri" w:hAnsi="Tahoma" w:cs="Tahoma"/>
          <w:sz w:val="22"/>
          <w:szCs w:val="22"/>
          <w:lang w:eastAsia="en-US"/>
        </w:rPr>
      </w:pPr>
      <w:r w:rsidRPr="00AE659C">
        <w:rPr>
          <w:rFonts w:ascii="Tahoma" w:hAnsi="Tahoma" w:cs="Tahoma"/>
          <w:sz w:val="22"/>
          <w:szCs w:val="22"/>
        </w:rPr>
        <w:t>Es materia del presente procedimiento administrativo sancionador</w:t>
      </w:r>
      <w:r>
        <w:rPr>
          <w:rFonts w:ascii="Tahoma" w:hAnsi="Tahoma" w:cs="Tahoma"/>
          <w:sz w:val="22"/>
          <w:szCs w:val="22"/>
        </w:rPr>
        <w:t>,</w:t>
      </w:r>
      <w:r w:rsidRPr="00AE659C">
        <w:rPr>
          <w:rFonts w:ascii="Tahoma" w:hAnsi="Tahoma" w:cs="Tahoma"/>
          <w:sz w:val="22"/>
          <w:szCs w:val="22"/>
        </w:rPr>
        <w:t xml:space="preserve"> la supuesta responsabilidad de</w:t>
      </w:r>
      <w:r>
        <w:rPr>
          <w:rFonts w:ascii="Tahoma" w:hAnsi="Tahoma" w:cs="Tahoma"/>
          <w:sz w:val="22"/>
          <w:szCs w:val="22"/>
        </w:rPr>
        <w:t>l</w:t>
      </w:r>
      <w:r w:rsidRPr="00AE659C">
        <w:rPr>
          <w:rFonts w:ascii="Tahoma" w:hAnsi="Tahoma" w:cs="Tahoma"/>
          <w:sz w:val="22"/>
          <w:szCs w:val="22"/>
        </w:rPr>
        <w:t xml:space="preserve"> </w:t>
      </w:r>
      <w:r>
        <w:rPr>
          <w:rFonts w:ascii="Tahoma" w:hAnsi="Tahoma" w:cs="Tahoma"/>
          <w:sz w:val="22"/>
          <w:szCs w:val="22"/>
        </w:rPr>
        <w:t>Postor</w:t>
      </w:r>
      <w:r w:rsidRPr="00AE659C">
        <w:rPr>
          <w:rFonts w:ascii="Tahoma" w:hAnsi="Tahoma" w:cs="Tahoma"/>
          <w:sz w:val="22"/>
          <w:szCs w:val="22"/>
          <w:lang w:val="es-PE"/>
        </w:rPr>
        <w:t xml:space="preserve"> por </w:t>
      </w:r>
      <w:r>
        <w:rPr>
          <w:rFonts w:ascii="Tahoma" w:hAnsi="Tahoma" w:cs="Tahoma"/>
          <w:sz w:val="22"/>
          <w:szCs w:val="22"/>
          <w:lang w:val="es-PE"/>
        </w:rPr>
        <w:t>no haber suscrito injustificadamente el contrato derivado</w:t>
      </w:r>
      <w:r w:rsidRPr="00AE659C">
        <w:rPr>
          <w:rFonts w:ascii="Tahoma" w:hAnsi="Tahoma" w:cs="Tahoma"/>
          <w:sz w:val="22"/>
          <w:szCs w:val="22"/>
          <w:lang w:val="es-PE"/>
        </w:rPr>
        <w:t xml:space="preserve"> </w:t>
      </w:r>
      <w:r>
        <w:rPr>
          <w:rFonts w:ascii="Tahoma" w:hAnsi="Tahoma" w:cs="Tahoma"/>
          <w:sz w:val="22"/>
          <w:szCs w:val="22"/>
          <w:lang w:val="es-PE"/>
        </w:rPr>
        <w:t xml:space="preserve">del </w:t>
      </w:r>
      <w:r>
        <w:rPr>
          <w:rFonts w:ascii="Tahoma" w:hAnsi="Tahoma" w:cs="Tahoma"/>
          <w:sz w:val="22"/>
          <w:szCs w:val="22"/>
        </w:rPr>
        <w:t>Concurso Público Nº 001-2010-CEPLAN (Primera Convocatoria)</w:t>
      </w:r>
      <w:r w:rsidRPr="00AE659C">
        <w:rPr>
          <w:rFonts w:ascii="Tahoma" w:hAnsi="Tahoma" w:cs="Tahoma"/>
          <w:sz w:val="22"/>
          <w:szCs w:val="22"/>
          <w:lang w:val="es-PE"/>
        </w:rPr>
        <w:t xml:space="preserve">; </w:t>
      </w:r>
      <w:r w:rsidRPr="00AE659C">
        <w:rPr>
          <w:rFonts w:ascii="Tahoma" w:hAnsi="Tahoma" w:cs="Tahoma"/>
          <w:sz w:val="22"/>
          <w:szCs w:val="22"/>
        </w:rPr>
        <w:t>infracci</w:t>
      </w:r>
      <w:r>
        <w:rPr>
          <w:rFonts w:ascii="Tahoma" w:hAnsi="Tahoma" w:cs="Tahoma"/>
          <w:sz w:val="22"/>
          <w:szCs w:val="22"/>
        </w:rPr>
        <w:t>ó</w:t>
      </w:r>
      <w:r w:rsidRPr="00AE659C">
        <w:rPr>
          <w:rFonts w:ascii="Tahoma" w:hAnsi="Tahoma" w:cs="Tahoma"/>
          <w:sz w:val="22"/>
          <w:szCs w:val="22"/>
        </w:rPr>
        <w:t>n tipificada en l</w:t>
      </w:r>
      <w:r>
        <w:rPr>
          <w:rFonts w:ascii="Tahoma" w:hAnsi="Tahoma" w:cs="Tahoma"/>
          <w:sz w:val="22"/>
          <w:szCs w:val="22"/>
        </w:rPr>
        <w:t>os literal</w:t>
      </w:r>
      <w:r w:rsidRPr="00AE659C">
        <w:rPr>
          <w:rFonts w:ascii="Tahoma" w:hAnsi="Tahoma" w:cs="Tahoma"/>
          <w:sz w:val="22"/>
          <w:szCs w:val="22"/>
        </w:rPr>
        <w:t xml:space="preserve"> </w:t>
      </w:r>
      <w:r>
        <w:rPr>
          <w:rFonts w:ascii="Tahoma" w:hAnsi="Tahoma" w:cs="Tahoma"/>
          <w:sz w:val="22"/>
          <w:szCs w:val="22"/>
        </w:rPr>
        <w:t>a),</w:t>
      </w:r>
      <w:r w:rsidRPr="00AE659C">
        <w:rPr>
          <w:rFonts w:ascii="Tahoma" w:hAnsi="Tahoma" w:cs="Tahoma"/>
          <w:sz w:val="22"/>
          <w:szCs w:val="22"/>
        </w:rPr>
        <w:t xml:space="preserve"> del </w:t>
      </w:r>
      <w:r>
        <w:rPr>
          <w:rFonts w:ascii="Tahoma" w:hAnsi="Tahoma" w:cs="Tahoma"/>
          <w:sz w:val="22"/>
          <w:szCs w:val="22"/>
        </w:rPr>
        <w:t xml:space="preserve">numeral 51.1 del </w:t>
      </w:r>
      <w:r w:rsidRPr="00AE659C">
        <w:rPr>
          <w:rFonts w:ascii="Tahoma" w:hAnsi="Tahoma" w:cs="Tahoma"/>
          <w:sz w:val="22"/>
          <w:szCs w:val="22"/>
        </w:rPr>
        <w:t xml:space="preserve">artículo </w:t>
      </w:r>
      <w:r>
        <w:rPr>
          <w:rFonts w:ascii="Tahoma" w:hAnsi="Tahoma" w:cs="Tahoma"/>
          <w:sz w:val="22"/>
          <w:szCs w:val="22"/>
        </w:rPr>
        <w:t>51 de la Ley de Contrataciones del Estado</w:t>
      </w:r>
      <w:r>
        <w:rPr>
          <w:rStyle w:val="Refdenotaalpie"/>
          <w:rFonts w:ascii="Tahoma" w:hAnsi="Tahoma" w:cs="Tahoma"/>
          <w:sz w:val="22"/>
          <w:szCs w:val="22"/>
        </w:rPr>
        <w:footnoteReference w:id="2"/>
      </w:r>
      <w:r>
        <w:rPr>
          <w:rFonts w:ascii="Tahoma" w:hAnsi="Tahoma" w:cs="Tahoma"/>
          <w:sz w:val="22"/>
          <w:szCs w:val="22"/>
        </w:rPr>
        <w:t>, en adelante la Ley, así como en el</w:t>
      </w:r>
      <w:r w:rsidRPr="00A014E1">
        <w:rPr>
          <w:rFonts w:ascii="Tahoma" w:eastAsia="Calibri" w:hAnsi="Tahoma" w:cs="Tahoma"/>
          <w:sz w:val="22"/>
          <w:szCs w:val="22"/>
          <w:lang w:eastAsia="en-US"/>
        </w:rPr>
        <w:t xml:space="preserve"> literal</w:t>
      </w:r>
      <w:r>
        <w:rPr>
          <w:rFonts w:ascii="Tahoma" w:eastAsia="Calibri" w:hAnsi="Tahoma" w:cs="Tahoma"/>
          <w:sz w:val="22"/>
          <w:szCs w:val="22"/>
          <w:lang w:eastAsia="en-US"/>
        </w:rPr>
        <w:t xml:space="preserve"> a) </w:t>
      </w:r>
      <w:r w:rsidRPr="00A014E1">
        <w:rPr>
          <w:rFonts w:ascii="Tahoma" w:eastAsia="Calibri" w:hAnsi="Tahoma" w:cs="Tahoma"/>
          <w:sz w:val="22"/>
          <w:szCs w:val="22"/>
          <w:lang w:eastAsia="en-US"/>
        </w:rPr>
        <w:t>del numeral 1 del artículo 237 del Reglamento de la Ley de Contrataciones del Estado</w:t>
      </w:r>
      <w:r w:rsidRPr="00826300">
        <w:rPr>
          <w:rStyle w:val="Refdenotaalpie"/>
          <w:rFonts w:ascii="Tahoma" w:eastAsia="Calibri" w:hAnsi="Tahoma" w:cs="Tahoma"/>
          <w:sz w:val="22"/>
          <w:szCs w:val="22"/>
          <w:lang w:eastAsia="en-US"/>
        </w:rPr>
        <w:footnoteReference w:id="3"/>
      </w:r>
      <w:r w:rsidRPr="00A014E1">
        <w:rPr>
          <w:rFonts w:ascii="Tahoma" w:eastAsia="Calibri" w:hAnsi="Tahoma" w:cs="Tahoma"/>
          <w:sz w:val="22"/>
          <w:szCs w:val="22"/>
          <w:lang w:eastAsia="en-US"/>
        </w:rPr>
        <w:t>, en adelante el Reglamento.</w:t>
      </w:r>
    </w:p>
    <w:p w:rsidR="002B7AFB" w:rsidRDefault="002B7AFB" w:rsidP="002B7AFB">
      <w:pPr>
        <w:pStyle w:val="Prrafodelista"/>
        <w:ind w:left="567"/>
        <w:contextualSpacing/>
        <w:jc w:val="both"/>
        <w:rPr>
          <w:rFonts w:ascii="Tahoma" w:eastAsia="Calibri" w:hAnsi="Tahoma" w:cs="Tahoma"/>
          <w:sz w:val="22"/>
          <w:szCs w:val="22"/>
          <w:lang w:eastAsia="en-US"/>
        </w:rPr>
      </w:pPr>
    </w:p>
    <w:p w:rsidR="002B7AFB" w:rsidRPr="00883D05" w:rsidRDefault="002B7AFB" w:rsidP="002B7AFB">
      <w:pPr>
        <w:pStyle w:val="Prrafodelista"/>
        <w:widowControl/>
        <w:numPr>
          <w:ilvl w:val="0"/>
          <w:numId w:val="8"/>
        </w:numPr>
        <w:suppressAutoHyphens w:val="0"/>
        <w:ind w:left="567" w:hanging="567"/>
        <w:contextualSpacing/>
        <w:jc w:val="both"/>
        <w:rPr>
          <w:rFonts w:ascii="Tahoma" w:eastAsia="Calibri" w:hAnsi="Tahoma" w:cs="Tahoma"/>
          <w:sz w:val="22"/>
          <w:szCs w:val="22"/>
          <w:lang w:eastAsia="en-US"/>
        </w:rPr>
      </w:pPr>
      <w:r w:rsidRPr="00883D05">
        <w:rPr>
          <w:rFonts w:ascii="Tahoma" w:hAnsi="Tahoma" w:cs="Tahoma"/>
          <w:sz w:val="22"/>
          <w:szCs w:val="22"/>
          <w:lang w:val="es-MX"/>
        </w:rPr>
        <w:t>Conforme a los criterios utilizados por el Tribunal en anteriores oportunidades</w:t>
      </w:r>
      <w:r w:rsidRPr="00487832">
        <w:rPr>
          <w:rStyle w:val="Refdenotaalpie"/>
          <w:rFonts w:ascii="Tahoma" w:hAnsi="Tahoma" w:cs="Tahoma"/>
          <w:sz w:val="22"/>
          <w:szCs w:val="22"/>
          <w:lang w:val="es-MX"/>
        </w:rPr>
        <w:footnoteReference w:id="4"/>
      </w:r>
      <w:r w:rsidRPr="00883D05">
        <w:rPr>
          <w:rFonts w:ascii="Tahoma" w:hAnsi="Tahoma" w:cs="Tahoma"/>
          <w:sz w:val="22"/>
          <w:szCs w:val="22"/>
          <w:lang w:val="es-MX"/>
        </w:rPr>
        <w:t xml:space="preserve">, para que </w:t>
      </w:r>
      <w:r w:rsidRPr="00883D05">
        <w:rPr>
          <w:rFonts w:ascii="Tahoma" w:hAnsi="Tahoma" w:cs="Tahoma"/>
          <w:sz w:val="22"/>
          <w:szCs w:val="22"/>
        </w:rPr>
        <w:t>dicha infracción se configure debe acreditarse que la Entidad haya cumplido con el procedimiento y los plazos establecidos para la suscripción del contrato, regulados en el artículo 148 del Reglamento.</w:t>
      </w:r>
    </w:p>
    <w:p w:rsidR="002B7AFB" w:rsidRDefault="002B7AFB" w:rsidP="002B7AFB">
      <w:pPr>
        <w:pStyle w:val="Prrafodelista"/>
        <w:ind w:left="567"/>
        <w:contextualSpacing/>
        <w:jc w:val="both"/>
        <w:rPr>
          <w:rFonts w:ascii="Tahoma" w:hAnsi="Tahoma" w:cs="Tahoma"/>
          <w:sz w:val="22"/>
          <w:szCs w:val="22"/>
        </w:rPr>
      </w:pPr>
    </w:p>
    <w:p w:rsidR="002B7AFB" w:rsidRPr="00A00F66" w:rsidRDefault="002B7AFB" w:rsidP="002B7AFB">
      <w:pPr>
        <w:pStyle w:val="Prrafodelista"/>
        <w:widowControl/>
        <w:numPr>
          <w:ilvl w:val="0"/>
          <w:numId w:val="8"/>
        </w:numPr>
        <w:suppressAutoHyphens w:val="0"/>
        <w:ind w:left="567" w:hanging="567"/>
        <w:contextualSpacing/>
        <w:jc w:val="both"/>
        <w:rPr>
          <w:rFonts w:ascii="Tahoma" w:eastAsia="Calibri" w:hAnsi="Tahoma" w:cs="Tahoma"/>
          <w:sz w:val="22"/>
          <w:szCs w:val="22"/>
          <w:lang w:eastAsia="en-US"/>
        </w:rPr>
      </w:pPr>
      <w:r>
        <w:rPr>
          <w:rFonts w:ascii="Tahoma" w:hAnsi="Tahoma" w:cs="Tahoma"/>
          <w:sz w:val="22"/>
          <w:szCs w:val="22"/>
        </w:rPr>
        <w:t xml:space="preserve">En efecto, el numeral 1) de dicho artículo 148 </w:t>
      </w:r>
      <w:r w:rsidRPr="00A00F66">
        <w:rPr>
          <w:rFonts w:ascii="Tahoma" w:hAnsi="Tahoma" w:cs="Tahoma"/>
          <w:sz w:val="22"/>
          <w:szCs w:val="22"/>
        </w:rPr>
        <w:t xml:space="preserve">dispone que </w:t>
      </w:r>
      <w:r w:rsidRPr="00A00F66">
        <w:rPr>
          <w:rFonts w:ascii="Tahoma" w:hAnsi="Tahoma" w:cs="Tahoma"/>
          <w:b/>
          <w:sz w:val="22"/>
          <w:szCs w:val="22"/>
        </w:rPr>
        <w:t>dentro de los dos (2) días hábiles siguientes al consentimiento de la buena pro, la Entidad deberá citar al postor ganador</w:t>
      </w:r>
      <w:r w:rsidRPr="00A00F66">
        <w:rPr>
          <w:rFonts w:ascii="Tahoma" w:hAnsi="Tahoma" w:cs="Tahoma"/>
          <w:sz w:val="22"/>
          <w:szCs w:val="22"/>
        </w:rPr>
        <w:t xml:space="preserve">, otorgándole el plazo establecido en las Bases, el cual no podrá ser menor de cinco (5) ni mayor de diez (10) días hábiles; plazo dentro del cual, </w:t>
      </w:r>
      <w:r>
        <w:rPr>
          <w:rFonts w:ascii="Tahoma" w:hAnsi="Tahoma" w:cs="Tahoma"/>
          <w:sz w:val="22"/>
          <w:szCs w:val="22"/>
        </w:rPr>
        <w:t>deberá presentarse el p</w:t>
      </w:r>
      <w:r w:rsidRPr="00A00F66">
        <w:rPr>
          <w:rFonts w:ascii="Tahoma" w:hAnsi="Tahoma" w:cs="Tahoma"/>
          <w:sz w:val="22"/>
          <w:szCs w:val="22"/>
        </w:rPr>
        <w:t>ostor a la sede de la Entidad para suscribir el contrato con toda la documentación requerida.  Seguidamente, el mismo dispositivo legal precisa que, en caso de que el postor no se presente dentro del plazo otorgado, perderá automáticamente la Buena Pro, sin perjuicio de la sanción administrativa aplicable.</w:t>
      </w:r>
    </w:p>
    <w:p w:rsidR="002B7AFB" w:rsidRPr="00E77F88" w:rsidRDefault="002B7AFB" w:rsidP="002B7AFB">
      <w:pPr>
        <w:pStyle w:val="Prrafodelista"/>
        <w:ind w:left="567"/>
        <w:contextualSpacing/>
        <w:jc w:val="both"/>
        <w:rPr>
          <w:rFonts w:ascii="Tahoma" w:hAnsi="Tahoma" w:cs="Tahoma"/>
          <w:sz w:val="22"/>
          <w:szCs w:val="22"/>
        </w:rPr>
      </w:pPr>
    </w:p>
    <w:p w:rsidR="002B7AFB" w:rsidRPr="00E77F88"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sidRPr="00E77F88">
        <w:rPr>
          <w:rFonts w:ascii="Tahoma" w:hAnsi="Tahoma" w:cs="Tahoma"/>
          <w:sz w:val="22"/>
          <w:szCs w:val="22"/>
        </w:rPr>
        <w:t>Este criterio ha sido recogido, además, en el Acuerdo de Sala Plena Nº</w:t>
      </w:r>
      <w:r>
        <w:rPr>
          <w:rFonts w:ascii="Tahoma" w:hAnsi="Tahoma" w:cs="Tahoma"/>
          <w:sz w:val="22"/>
          <w:szCs w:val="22"/>
        </w:rPr>
        <w:t> </w:t>
      </w:r>
      <w:r w:rsidRPr="00E77F88">
        <w:rPr>
          <w:rFonts w:ascii="Tahoma" w:hAnsi="Tahoma" w:cs="Tahoma"/>
          <w:sz w:val="22"/>
          <w:szCs w:val="22"/>
        </w:rPr>
        <w:t xml:space="preserve">007/2009 del 25 de junio de 2009, en el que se </w:t>
      </w:r>
      <w:r>
        <w:rPr>
          <w:rFonts w:ascii="Tahoma" w:hAnsi="Tahoma" w:cs="Tahoma"/>
          <w:sz w:val="22"/>
          <w:szCs w:val="22"/>
        </w:rPr>
        <w:t xml:space="preserve">dispuso que </w:t>
      </w:r>
      <w:r w:rsidRPr="00E77F88">
        <w:rPr>
          <w:rFonts w:ascii="Tahoma" w:hAnsi="Tahoma" w:cs="Tahoma"/>
          <w:i/>
          <w:sz w:val="22"/>
          <w:szCs w:val="22"/>
        </w:rPr>
        <w:t xml:space="preserve">“(…) en los casos en </w:t>
      </w:r>
      <w:r>
        <w:rPr>
          <w:rFonts w:ascii="Tahoma" w:hAnsi="Tahoma" w:cs="Tahoma"/>
          <w:i/>
          <w:sz w:val="22"/>
          <w:szCs w:val="22"/>
        </w:rPr>
        <w:t xml:space="preserve">que </w:t>
      </w:r>
      <w:r w:rsidRPr="00E77F88">
        <w:rPr>
          <w:rFonts w:ascii="Tahoma" w:hAnsi="Tahoma" w:cs="Tahoma"/>
          <w:i/>
          <w:sz w:val="22"/>
          <w:szCs w:val="22"/>
        </w:rPr>
        <w:t xml:space="preserve">se comunique la no suscripción injustificada </w:t>
      </w:r>
      <w:r>
        <w:rPr>
          <w:rFonts w:ascii="Tahoma" w:hAnsi="Tahoma" w:cs="Tahoma"/>
          <w:i/>
          <w:sz w:val="22"/>
          <w:szCs w:val="22"/>
        </w:rPr>
        <w:t>d</w:t>
      </w:r>
      <w:r w:rsidRPr="00E77F88">
        <w:rPr>
          <w:rFonts w:ascii="Tahoma" w:hAnsi="Tahoma" w:cs="Tahoma"/>
          <w:i/>
          <w:sz w:val="22"/>
          <w:szCs w:val="22"/>
        </w:rPr>
        <w:t xml:space="preserve">e contrato, las Entidades están obligadas a cumplir y observar estrictamente los plazos y el procedimiento </w:t>
      </w:r>
      <w:r w:rsidRPr="00E77F88">
        <w:rPr>
          <w:rFonts w:ascii="Tahoma" w:hAnsi="Tahoma" w:cs="Tahoma"/>
          <w:i/>
          <w:sz w:val="22"/>
          <w:szCs w:val="22"/>
        </w:rPr>
        <w:lastRenderedPageBreak/>
        <w:t>establecido en la normativa para llevar a cabo dicha suscripción, procedimiento cuya inobservancia acarrea la exención de responsabilidad del postor, debiendo declararse no ha lugar la imposición de sanción, sin perjuicio de la responsabilidad administrativa de los funcionarios responsables”</w:t>
      </w:r>
      <w:r w:rsidRPr="00E77F88">
        <w:rPr>
          <w:rFonts w:ascii="Tahoma" w:hAnsi="Tahoma" w:cs="Tahoma"/>
          <w:sz w:val="22"/>
          <w:szCs w:val="22"/>
        </w:rPr>
        <w:t>.</w:t>
      </w:r>
    </w:p>
    <w:p w:rsidR="002B7AFB" w:rsidRPr="00E77F88" w:rsidRDefault="002B7AFB" w:rsidP="002B7AFB">
      <w:pPr>
        <w:pStyle w:val="Prrafodelista"/>
        <w:ind w:left="567"/>
        <w:rPr>
          <w:rFonts w:ascii="Tahoma" w:hAnsi="Tahoma" w:cs="Tahoma"/>
          <w:sz w:val="22"/>
          <w:szCs w:val="22"/>
        </w:rPr>
      </w:pPr>
    </w:p>
    <w:p w:rsidR="002B7AFB" w:rsidRPr="00D8505D"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sidRPr="00E77F88">
        <w:rPr>
          <w:rFonts w:ascii="Tahoma" w:hAnsi="Tahoma" w:cs="Tahoma"/>
          <w:sz w:val="22"/>
          <w:szCs w:val="22"/>
        </w:rPr>
        <w:t xml:space="preserve">En ese orden de ideas, corresponde determinar, </w:t>
      </w:r>
      <w:r>
        <w:rPr>
          <w:rFonts w:ascii="Tahoma" w:hAnsi="Tahoma" w:cs="Tahoma"/>
          <w:sz w:val="22"/>
          <w:szCs w:val="22"/>
        </w:rPr>
        <w:t xml:space="preserve">de manera previa, </w:t>
      </w:r>
      <w:r w:rsidRPr="00E77F88">
        <w:rPr>
          <w:rFonts w:ascii="Tahoma" w:hAnsi="Tahoma" w:cs="Tahoma"/>
          <w:sz w:val="22"/>
          <w:szCs w:val="22"/>
        </w:rPr>
        <w:t xml:space="preserve">si la Entidad ha seguido el procedimiento </w:t>
      </w:r>
      <w:r>
        <w:rPr>
          <w:rFonts w:ascii="Tahoma" w:hAnsi="Tahoma" w:cs="Tahoma"/>
          <w:sz w:val="22"/>
          <w:szCs w:val="22"/>
        </w:rPr>
        <w:t xml:space="preserve">formal </w:t>
      </w:r>
      <w:r w:rsidRPr="00E77F88">
        <w:rPr>
          <w:rFonts w:ascii="Tahoma" w:hAnsi="Tahoma" w:cs="Tahoma"/>
          <w:sz w:val="22"/>
          <w:szCs w:val="22"/>
        </w:rPr>
        <w:t xml:space="preserve">previsto </w:t>
      </w:r>
      <w:r>
        <w:rPr>
          <w:rFonts w:ascii="Tahoma" w:hAnsi="Tahoma" w:cs="Tahoma"/>
          <w:sz w:val="22"/>
          <w:szCs w:val="22"/>
        </w:rPr>
        <w:t>en el artículo 148 del Reglamento.</w:t>
      </w:r>
    </w:p>
    <w:p w:rsidR="002B7AFB" w:rsidRDefault="002B7AFB" w:rsidP="002B7AFB">
      <w:pPr>
        <w:pStyle w:val="Prrafodelista"/>
        <w:ind w:left="567"/>
        <w:rPr>
          <w:rFonts w:ascii="Tahoma" w:hAnsi="Tahoma" w:cs="Tahoma"/>
          <w:sz w:val="22"/>
          <w:szCs w:val="22"/>
        </w:rPr>
      </w:pPr>
    </w:p>
    <w:p w:rsidR="002B7AFB"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sidRPr="00D8505D">
        <w:rPr>
          <w:rFonts w:ascii="Tahoma" w:hAnsi="Tahoma" w:cs="Tahoma"/>
          <w:sz w:val="22"/>
          <w:szCs w:val="22"/>
        </w:rPr>
        <w:t>Al efecto, y</w:t>
      </w:r>
      <w:r>
        <w:rPr>
          <w:rFonts w:ascii="Tahoma" w:hAnsi="Tahoma" w:cs="Tahoma"/>
          <w:sz w:val="22"/>
          <w:szCs w:val="22"/>
        </w:rPr>
        <w:t xml:space="preserve"> a tenor de lo reseñado en la parte de An</w:t>
      </w:r>
      <w:r w:rsidRPr="00D8505D">
        <w:rPr>
          <w:rFonts w:ascii="Tahoma" w:hAnsi="Tahoma" w:cs="Tahoma"/>
          <w:sz w:val="22"/>
          <w:szCs w:val="22"/>
        </w:rPr>
        <w:t xml:space="preserve">tecedentes, se advierte que el otorgamiento de la Buena Pro </w:t>
      </w:r>
      <w:r>
        <w:rPr>
          <w:rFonts w:ascii="Tahoma" w:hAnsi="Tahoma" w:cs="Tahoma"/>
          <w:sz w:val="22"/>
          <w:szCs w:val="22"/>
        </w:rPr>
        <w:t>del Concurso Público Nº 001-2010-CEPLAN (Primera Convocatoria) se realizó en acto público el 12 de agosto</w:t>
      </w:r>
      <w:r w:rsidRPr="00D8505D">
        <w:rPr>
          <w:rFonts w:ascii="Tahoma" w:hAnsi="Tahoma" w:cs="Tahoma"/>
          <w:sz w:val="22"/>
          <w:szCs w:val="22"/>
        </w:rPr>
        <w:t xml:space="preserve"> de 2010 y se publicó el mismo día en el SEACE, acto que se tuvo por notificado en la misma fecha, de acuerdo con lo prescrito en el artículo 75</w:t>
      </w:r>
      <w:r w:rsidRPr="00C062D4">
        <w:rPr>
          <w:rStyle w:val="Refdenotaalpie"/>
          <w:rFonts w:ascii="Tahoma" w:hAnsi="Tahoma" w:cs="Tahoma"/>
          <w:sz w:val="22"/>
          <w:szCs w:val="22"/>
        </w:rPr>
        <w:footnoteReference w:id="5"/>
      </w:r>
      <w:r w:rsidRPr="00D8505D">
        <w:rPr>
          <w:rFonts w:ascii="Tahoma" w:hAnsi="Tahoma" w:cs="Tahoma"/>
          <w:sz w:val="22"/>
          <w:szCs w:val="22"/>
        </w:rPr>
        <w:t xml:space="preserve"> del Reglamento.</w:t>
      </w:r>
    </w:p>
    <w:p w:rsidR="002B7AFB" w:rsidRDefault="002B7AFB" w:rsidP="002B7AFB">
      <w:pPr>
        <w:pStyle w:val="Prrafodelista"/>
        <w:ind w:left="567"/>
        <w:rPr>
          <w:rFonts w:ascii="Tahoma" w:hAnsi="Tahoma" w:cs="Tahoma"/>
          <w:sz w:val="22"/>
          <w:szCs w:val="22"/>
        </w:rPr>
      </w:pPr>
    </w:p>
    <w:p w:rsidR="002B7AFB"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Pr>
          <w:rFonts w:ascii="Tahoma" w:hAnsi="Tahoma" w:cs="Tahoma"/>
          <w:sz w:val="22"/>
          <w:szCs w:val="22"/>
        </w:rPr>
        <w:t>Ahora bien</w:t>
      </w:r>
      <w:r w:rsidRPr="00B27921">
        <w:rPr>
          <w:rFonts w:ascii="Tahoma" w:hAnsi="Tahoma" w:cs="Tahoma"/>
          <w:sz w:val="22"/>
          <w:szCs w:val="22"/>
        </w:rPr>
        <w:t xml:space="preserve">, </w:t>
      </w:r>
      <w:r>
        <w:rPr>
          <w:rFonts w:ascii="Tahoma" w:hAnsi="Tahoma" w:cs="Tahoma"/>
          <w:sz w:val="22"/>
          <w:szCs w:val="22"/>
        </w:rPr>
        <w:t>a fin de verificar la fecha en la cual se dio el consentimiento del otorgamiento de la Buena Pro, se debe tener en cuenta lo establecido</w:t>
      </w:r>
      <w:r w:rsidRPr="00B27921">
        <w:rPr>
          <w:rFonts w:ascii="Tahoma" w:hAnsi="Tahoma" w:cs="Tahoma"/>
          <w:sz w:val="22"/>
          <w:szCs w:val="22"/>
        </w:rPr>
        <w:t xml:space="preserve"> en el artículo 77</w:t>
      </w:r>
      <w:r w:rsidRPr="00C062D4">
        <w:rPr>
          <w:rStyle w:val="Refdenotaalpie"/>
          <w:rFonts w:ascii="Tahoma" w:hAnsi="Tahoma" w:cs="Tahoma"/>
          <w:sz w:val="22"/>
          <w:szCs w:val="22"/>
        </w:rPr>
        <w:footnoteReference w:id="6"/>
      </w:r>
      <w:r w:rsidRPr="00B27921">
        <w:rPr>
          <w:rFonts w:ascii="Tahoma" w:hAnsi="Tahoma" w:cs="Tahoma"/>
          <w:sz w:val="22"/>
          <w:szCs w:val="22"/>
        </w:rPr>
        <w:t xml:space="preserve"> del Reglamento; </w:t>
      </w:r>
      <w:r>
        <w:rPr>
          <w:rFonts w:ascii="Tahoma" w:hAnsi="Tahoma" w:cs="Tahoma"/>
          <w:sz w:val="22"/>
          <w:szCs w:val="22"/>
        </w:rPr>
        <w:t>el cual dispone que cuando se hayan presentado dos (2) o más propuestas, el consentimiento de la Buena Pro se producirá a los ocho (08) días hábiles de la notificación de su otorgamiento, sin que los postores hayan ejercido el derecho de interponer el recurso de apelación. Asimismo, dicho artículo establece que en el caso que se haya presentado una sola oferta, el consentimiento de la Buena Pro se producirá el mismo día de la notificación de su otorgamiento.</w:t>
      </w:r>
    </w:p>
    <w:p w:rsidR="002B7AFB" w:rsidRPr="006967E9" w:rsidRDefault="002B7AFB" w:rsidP="002B7AFB">
      <w:pPr>
        <w:pStyle w:val="Prrafodelista"/>
        <w:rPr>
          <w:rFonts w:ascii="Tahoma" w:hAnsi="Tahoma" w:cs="Tahoma"/>
          <w:sz w:val="22"/>
          <w:szCs w:val="22"/>
        </w:rPr>
      </w:pPr>
    </w:p>
    <w:p w:rsidR="002B7AFB"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sidRPr="006967E9">
        <w:rPr>
          <w:rFonts w:ascii="Tahoma" w:hAnsi="Tahoma" w:cs="Tahoma"/>
          <w:sz w:val="22"/>
          <w:szCs w:val="22"/>
        </w:rPr>
        <w:lastRenderedPageBreak/>
        <w:t xml:space="preserve">Respecto a </w:t>
      </w:r>
      <w:r>
        <w:rPr>
          <w:rFonts w:ascii="Tahoma" w:hAnsi="Tahoma" w:cs="Tahoma"/>
          <w:sz w:val="22"/>
          <w:szCs w:val="22"/>
        </w:rPr>
        <w:t>ello</w:t>
      </w:r>
      <w:r w:rsidRPr="006967E9">
        <w:rPr>
          <w:rFonts w:ascii="Tahoma" w:hAnsi="Tahoma" w:cs="Tahoma"/>
          <w:sz w:val="22"/>
          <w:szCs w:val="22"/>
        </w:rPr>
        <w:t>, se debe señalar que tal como se</w:t>
      </w:r>
      <w:r>
        <w:rPr>
          <w:rFonts w:ascii="Tahoma" w:hAnsi="Tahoma" w:cs="Tahoma"/>
          <w:sz w:val="22"/>
          <w:szCs w:val="22"/>
        </w:rPr>
        <w:t xml:space="preserve"> ha podido verificar en el </w:t>
      </w:r>
      <w:r w:rsidRPr="006967E9">
        <w:rPr>
          <w:rFonts w:ascii="Tahoma" w:hAnsi="Tahoma" w:cs="Tahoma"/>
          <w:sz w:val="22"/>
          <w:szCs w:val="22"/>
        </w:rPr>
        <w:t xml:space="preserve">Acta de Calificación y Evaluación de Propuestas Técnicas, publicado </w:t>
      </w:r>
      <w:r>
        <w:rPr>
          <w:rFonts w:ascii="Tahoma" w:hAnsi="Tahoma" w:cs="Tahoma"/>
          <w:sz w:val="22"/>
          <w:szCs w:val="22"/>
        </w:rPr>
        <w:t xml:space="preserve">el 12 de agosto del 2010 </w:t>
      </w:r>
      <w:r w:rsidRPr="006967E9">
        <w:rPr>
          <w:rFonts w:ascii="Tahoma" w:hAnsi="Tahoma" w:cs="Tahoma"/>
          <w:sz w:val="22"/>
          <w:szCs w:val="22"/>
        </w:rPr>
        <w:t xml:space="preserve">en el </w:t>
      </w:r>
      <w:r>
        <w:rPr>
          <w:rFonts w:ascii="Tahoma" w:hAnsi="Tahoma" w:cs="Tahoma"/>
          <w:sz w:val="22"/>
          <w:szCs w:val="22"/>
        </w:rPr>
        <w:t>Sistema Electrónico de Contrataciones del Estado – SEACE, presentaron dos empresas sus propuestas técnicas en el proceso de selección Concurso Público Nº 001-2010-CEPLAN (Primera Convocatoria), es decir el Postor y la empresa GOBERNANZA CONSULTORES ASOCIADOS S.A.C., por lo tanto, si bien es cierto, la propuesta presentada por la última empresa no fue admitida por el Comité Especial, no es menos cierto que está tenía la posibilidad de interponer el respectivo recurso impugnativo contra dicha descalificación, por lo cual el consentimiento de la Buena Pro, se debió haber dado a los ocho (08) días hábiles de la notificación de su otorgamiento.</w:t>
      </w:r>
    </w:p>
    <w:p w:rsidR="002B7AFB" w:rsidRPr="008E4E19" w:rsidRDefault="002B7AFB" w:rsidP="002B7AFB">
      <w:pPr>
        <w:pStyle w:val="Prrafodelista"/>
        <w:rPr>
          <w:rFonts w:ascii="Tahoma" w:hAnsi="Tahoma" w:cs="Tahoma"/>
          <w:sz w:val="22"/>
          <w:szCs w:val="22"/>
        </w:rPr>
      </w:pPr>
    </w:p>
    <w:p w:rsidR="002B7AFB" w:rsidRPr="008E4E19"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Pr>
          <w:rFonts w:ascii="Tahoma" w:hAnsi="Tahoma" w:cs="Tahoma"/>
          <w:sz w:val="22"/>
          <w:szCs w:val="22"/>
        </w:rPr>
        <w:t>En tal sentido, teniendo en consideración que en el Concurso Público Nº 001-2010-CEPLAN (Primera Convocatoria),</w:t>
      </w:r>
      <w:r w:rsidRPr="008E4E19">
        <w:rPr>
          <w:rFonts w:ascii="Tahoma" w:hAnsi="Tahoma" w:cs="Tahoma"/>
          <w:sz w:val="22"/>
          <w:szCs w:val="22"/>
        </w:rPr>
        <w:t xml:space="preserve"> se presentaron más de una propuesta y ningún postor impugnó, el consentimiento de la </w:t>
      </w:r>
      <w:r>
        <w:rPr>
          <w:rFonts w:ascii="Tahoma" w:hAnsi="Tahoma" w:cs="Tahoma"/>
          <w:sz w:val="22"/>
          <w:szCs w:val="22"/>
        </w:rPr>
        <w:t>Buena Pro acaeció el 24 de agosto</w:t>
      </w:r>
      <w:r w:rsidRPr="008E4E19">
        <w:rPr>
          <w:rFonts w:ascii="Tahoma" w:hAnsi="Tahoma" w:cs="Tahoma"/>
          <w:sz w:val="22"/>
          <w:szCs w:val="22"/>
        </w:rPr>
        <w:t xml:space="preserve"> de 2010, por lo que la Entidad tenía dos días hábiles para citar al Postor, entiéndase </w:t>
      </w:r>
      <w:r>
        <w:rPr>
          <w:rFonts w:ascii="Tahoma" w:hAnsi="Tahoma" w:cs="Tahoma"/>
          <w:sz w:val="22"/>
          <w:szCs w:val="22"/>
          <w:u w:val="single"/>
        </w:rPr>
        <w:t>el 25</w:t>
      </w:r>
      <w:r w:rsidRPr="008E4E19">
        <w:rPr>
          <w:rFonts w:ascii="Tahoma" w:hAnsi="Tahoma" w:cs="Tahoma"/>
          <w:sz w:val="22"/>
          <w:szCs w:val="22"/>
          <w:u w:val="single"/>
        </w:rPr>
        <w:t xml:space="preserve"> ó</w:t>
      </w:r>
      <w:r>
        <w:rPr>
          <w:rFonts w:ascii="Tahoma" w:hAnsi="Tahoma" w:cs="Tahoma"/>
          <w:sz w:val="22"/>
          <w:szCs w:val="22"/>
          <w:u w:val="single"/>
        </w:rPr>
        <w:t xml:space="preserve"> 26 de agosto</w:t>
      </w:r>
      <w:r w:rsidRPr="008E4E19">
        <w:rPr>
          <w:rFonts w:ascii="Tahoma" w:hAnsi="Tahoma" w:cs="Tahoma"/>
          <w:sz w:val="22"/>
          <w:szCs w:val="22"/>
          <w:u w:val="single"/>
        </w:rPr>
        <w:t xml:space="preserve"> del 2010</w:t>
      </w:r>
      <w:r w:rsidRPr="008E4E19">
        <w:rPr>
          <w:rFonts w:ascii="Tahoma" w:hAnsi="Tahoma" w:cs="Tahoma"/>
          <w:sz w:val="22"/>
          <w:szCs w:val="22"/>
        </w:rPr>
        <w:t>.</w:t>
      </w:r>
    </w:p>
    <w:p w:rsidR="002B7AFB" w:rsidRDefault="002B7AFB" w:rsidP="002B7AFB">
      <w:pPr>
        <w:pStyle w:val="Prrafodelista"/>
        <w:ind w:left="567"/>
        <w:contextualSpacing/>
        <w:jc w:val="both"/>
        <w:rPr>
          <w:rFonts w:ascii="Tahoma" w:hAnsi="Tahoma" w:cs="Tahoma"/>
          <w:sz w:val="22"/>
          <w:szCs w:val="22"/>
        </w:rPr>
      </w:pPr>
    </w:p>
    <w:p w:rsidR="002B7AFB" w:rsidRPr="008E4E19"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sidRPr="008E4E19">
        <w:rPr>
          <w:rFonts w:ascii="Tahoma" w:hAnsi="Tahoma" w:cs="Tahoma"/>
          <w:sz w:val="22"/>
          <w:szCs w:val="22"/>
        </w:rPr>
        <w:t>No obstante lo anterior, de la revisión de la documentación obrante en el expediente, se aprecia que mediante Carta Nº 048-2010/CEPLAN-OGA notificada el 17 de agosto del 2010, se requirió al Postor los documentos para la suscripción del contrato y, a decir de la Entidad, a través de dicha carta también se le habría citado para la suscripción del contrato</w:t>
      </w:r>
      <w:r>
        <w:rPr>
          <w:rFonts w:ascii="Tahoma" w:hAnsi="Tahoma" w:cs="Tahoma"/>
          <w:sz w:val="22"/>
          <w:szCs w:val="22"/>
        </w:rPr>
        <w:t>.</w:t>
      </w:r>
    </w:p>
    <w:p w:rsidR="002B7AFB" w:rsidRPr="008E4E19" w:rsidRDefault="002B7AFB" w:rsidP="002B7AFB">
      <w:pPr>
        <w:contextualSpacing/>
        <w:jc w:val="both"/>
        <w:rPr>
          <w:rFonts w:ascii="Tahoma" w:hAnsi="Tahoma" w:cs="Tahoma"/>
          <w:sz w:val="22"/>
          <w:szCs w:val="22"/>
        </w:rPr>
      </w:pPr>
    </w:p>
    <w:p w:rsidR="002B7AFB" w:rsidRPr="007B6BA1"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sidRPr="007B6BA1">
        <w:rPr>
          <w:rFonts w:ascii="Tahoma" w:hAnsi="Tahoma" w:cs="Tahoma"/>
          <w:sz w:val="22"/>
          <w:szCs w:val="22"/>
        </w:rPr>
        <w:t xml:space="preserve">En ese sentido, </w:t>
      </w:r>
      <w:r>
        <w:rPr>
          <w:rFonts w:ascii="Tahoma" w:hAnsi="Tahoma" w:cs="Tahoma"/>
          <w:sz w:val="22"/>
          <w:szCs w:val="22"/>
        </w:rPr>
        <w:t>a todas luces s</w:t>
      </w:r>
      <w:r w:rsidRPr="007B6BA1">
        <w:rPr>
          <w:rFonts w:ascii="Tahoma" w:hAnsi="Tahoma" w:cs="Tahoma"/>
          <w:sz w:val="22"/>
          <w:szCs w:val="22"/>
        </w:rPr>
        <w:t>e advierte q</w:t>
      </w:r>
      <w:r>
        <w:rPr>
          <w:rFonts w:ascii="Tahoma" w:hAnsi="Tahoma" w:cs="Tahoma"/>
          <w:sz w:val="22"/>
          <w:szCs w:val="22"/>
        </w:rPr>
        <w:t>ue, en el supuesto que a través de dicha carta se le haya citado al Postor para la suscripción del contrato, esta habría sido prematura</w:t>
      </w:r>
      <w:r w:rsidRPr="007B6BA1">
        <w:rPr>
          <w:rFonts w:ascii="Tahoma" w:hAnsi="Tahoma" w:cs="Tahoma"/>
          <w:sz w:val="22"/>
          <w:szCs w:val="22"/>
        </w:rPr>
        <w:t>, ya que aún no s</w:t>
      </w:r>
      <w:r>
        <w:rPr>
          <w:rFonts w:ascii="Tahoma" w:hAnsi="Tahoma" w:cs="Tahoma"/>
          <w:sz w:val="22"/>
          <w:szCs w:val="22"/>
        </w:rPr>
        <w:t>e habían consentido el otorgamiento de la Buena Pro del proceso de selección Concurso Público Nº 001-2010-CEPLAN (Primera Convocatoria)</w:t>
      </w:r>
      <w:r w:rsidRPr="007B6BA1">
        <w:rPr>
          <w:rFonts w:ascii="Tahoma" w:hAnsi="Tahoma" w:cs="Tahoma"/>
          <w:sz w:val="22"/>
          <w:szCs w:val="22"/>
        </w:rPr>
        <w:t>.</w:t>
      </w:r>
    </w:p>
    <w:p w:rsidR="002B7AFB" w:rsidRPr="007B6BA1" w:rsidRDefault="002B7AFB" w:rsidP="002B7AFB">
      <w:pPr>
        <w:pStyle w:val="Prrafodelista"/>
        <w:ind w:left="567"/>
        <w:rPr>
          <w:rFonts w:ascii="Tahoma" w:hAnsi="Tahoma" w:cs="Tahoma"/>
          <w:sz w:val="22"/>
          <w:szCs w:val="22"/>
        </w:rPr>
      </w:pPr>
    </w:p>
    <w:p w:rsidR="002B7AFB" w:rsidRPr="00214A82"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sidRPr="007B6BA1">
        <w:rPr>
          <w:rFonts w:ascii="Tahoma" w:hAnsi="Tahoma" w:cs="Tahoma"/>
          <w:sz w:val="22"/>
          <w:szCs w:val="22"/>
        </w:rPr>
        <w:t xml:space="preserve">Consecuentemente, estando a que la Entidad </w:t>
      </w:r>
      <w:r>
        <w:rPr>
          <w:rFonts w:ascii="Tahoma" w:hAnsi="Tahoma" w:cs="Tahoma"/>
          <w:sz w:val="22"/>
          <w:szCs w:val="22"/>
        </w:rPr>
        <w:t xml:space="preserve">no cumplió con el procedimiento para la suscripción del contrato, según lo establecido </w:t>
      </w:r>
      <w:r w:rsidRPr="007B6BA1">
        <w:rPr>
          <w:rFonts w:ascii="Tahoma" w:hAnsi="Tahoma" w:cs="Tahoma"/>
          <w:sz w:val="22"/>
          <w:szCs w:val="22"/>
        </w:rPr>
        <w:t xml:space="preserve">en el artículo 148 del Reglamento; este Tribunal considera que no se ha configurado el presupuesto necesario para la infracción prevista en el literal a) del numeral 51.1 del artículo 51 de </w:t>
      </w:r>
      <w:r>
        <w:rPr>
          <w:rFonts w:ascii="Tahoma" w:hAnsi="Tahoma" w:cs="Tahoma"/>
          <w:sz w:val="22"/>
          <w:szCs w:val="22"/>
        </w:rPr>
        <w:t>l</w:t>
      </w:r>
      <w:r w:rsidRPr="007B6BA1">
        <w:rPr>
          <w:rFonts w:ascii="Tahoma" w:hAnsi="Tahoma" w:cs="Tahoma"/>
          <w:sz w:val="22"/>
          <w:szCs w:val="22"/>
        </w:rPr>
        <w:t>a Ley, por lo que corresponde eximir de responsabilidad administrativa al Postor</w:t>
      </w:r>
      <w:r w:rsidRPr="007B6BA1">
        <w:rPr>
          <w:rFonts w:ascii="Tahoma" w:eastAsia="Calibri" w:hAnsi="Tahoma" w:cs="Tahoma"/>
          <w:sz w:val="22"/>
          <w:szCs w:val="22"/>
          <w:lang w:eastAsia="en-US"/>
        </w:rPr>
        <w:t>.</w:t>
      </w:r>
    </w:p>
    <w:p w:rsidR="002B7AFB" w:rsidRPr="00214A82" w:rsidRDefault="002B7AFB" w:rsidP="002B7AFB">
      <w:pPr>
        <w:pStyle w:val="Prrafodelista"/>
        <w:rPr>
          <w:rFonts w:ascii="Tahoma" w:hAnsi="Tahoma" w:cs="Tahoma"/>
          <w:sz w:val="22"/>
          <w:szCs w:val="22"/>
        </w:rPr>
      </w:pPr>
    </w:p>
    <w:p w:rsidR="002B7AFB" w:rsidRPr="00214A82" w:rsidRDefault="002B7AFB" w:rsidP="002B7AFB">
      <w:pPr>
        <w:pStyle w:val="Prrafodelista"/>
        <w:widowControl/>
        <w:numPr>
          <w:ilvl w:val="0"/>
          <w:numId w:val="8"/>
        </w:numPr>
        <w:suppressAutoHyphens w:val="0"/>
        <w:ind w:left="567" w:hanging="567"/>
        <w:contextualSpacing/>
        <w:jc w:val="both"/>
        <w:rPr>
          <w:rFonts w:ascii="Tahoma" w:hAnsi="Tahoma" w:cs="Tahoma"/>
          <w:sz w:val="22"/>
          <w:szCs w:val="22"/>
        </w:rPr>
      </w:pPr>
      <w:r w:rsidRPr="00214A82">
        <w:rPr>
          <w:rFonts w:ascii="Tahoma" w:hAnsi="Tahoma" w:cs="Tahoma"/>
          <w:sz w:val="23"/>
          <w:szCs w:val="23"/>
        </w:rPr>
        <w:t>Sin perjuicio de lo señalado, corresponde poner en conocimiento al Órgano de Control Institucional de la Entidad, el presente acuerdo, por el incumplimiento del procedimiento para la suscripción del contrato.</w:t>
      </w:r>
    </w:p>
    <w:p w:rsidR="002B7AFB" w:rsidRPr="002B7AFB" w:rsidRDefault="002B7AFB" w:rsidP="002B7AFB">
      <w:pPr>
        <w:jc w:val="both"/>
        <w:rPr>
          <w:rFonts w:ascii="Tahoma" w:hAnsi="Tahoma" w:cs="Tahoma"/>
          <w:sz w:val="23"/>
          <w:szCs w:val="23"/>
          <w:lang w:val="es-ES_tradnl"/>
        </w:rPr>
      </w:pPr>
    </w:p>
    <w:p w:rsidR="002B7AFB" w:rsidRPr="00864326" w:rsidRDefault="002B7AFB" w:rsidP="002B7AFB">
      <w:pPr>
        <w:ind w:firstLine="567"/>
        <w:jc w:val="both"/>
        <w:rPr>
          <w:rFonts w:ascii="Tahoma" w:eastAsiaTheme="minorHAnsi" w:hAnsi="Tahoma" w:cs="Tahoma"/>
          <w:color w:val="000000"/>
          <w:sz w:val="22"/>
          <w:szCs w:val="22"/>
        </w:rPr>
      </w:pPr>
      <w:r w:rsidRPr="00864326">
        <w:rPr>
          <w:rFonts w:ascii="Tahoma" w:hAnsi="Tahoma" w:cs="Tahoma"/>
          <w:sz w:val="22"/>
          <w:szCs w:val="22"/>
        </w:rPr>
        <w:t xml:space="preserve">Por estos fundamentos, </w:t>
      </w:r>
      <w:r w:rsidRPr="00864326">
        <w:rPr>
          <w:rFonts w:ascii="Tahoma" w:hAnsi="Tahoma" w:cs="Tahoma"/>
          <w:color w:val="000000"/>
          <w:sz w:val="22"/>
          <w:szCs w:val="22"/>
        </w:rPr>
        <w:t>de conformidad con el inf</w:t>
      </w:r>
      <w:r w:rsidRPr="00864326">
        <w:rPr>
          <w:rFonts w:ascii="Tahoma" w:eastAsia="Calibri" w:hAnsi="Tahoma" w:cs="Tahoma"/>
          <w:color w:val="000000"/>
          <w:sz w:val="22"/>
          <w:szCs w:val="22"/>
        </w:rPr>
        <w:t xml:space="preserve">orme de la Vocal Ponente Dra. Ada Rosa Basulto Liewald y la intervención de los Señores Vocales </w:t>
      </w:r>
      <w:r w:rsidRPr="00864326">
        <w:rPr>
          <w:rFonts w:ascii="Tahoma" w:eastAsiaTheme="minorHAnsi" w:hAnsi="Tahoma" w:cs="Tahoma"/>
          <w:color w:val="000000"/>
          <w:sz w:val="22"/>
          <w:szCs w:val="22"/>
        </w:rPr>
        <w:t xml:space="preserve">Dr. Carlos Vicente Navas Rondón y </w:t>
      </w:r>
      <w:r w:rsidRPr="00864326">
        <w:rPr>
          <w:rFonts w:ascii="Tahoma" w:eastAsia="Calibri" w:hAnsi="Tahoma" w:cs="Tahoma"/>
          <w:color w:val="000000"/>
          <w:sz w:val="22"/>
          <w:szCs w:val="22"/>
        </w:rPr>
        <w:t xml:space="preserve">Dra. Janette Elke Ramírez Maynetto; </w:t>
      </w:r>
      <w:r w:rsidRPr="00864326">
        <w:rPr>
          <w:rFonts w:ascii="Tahoma" w:eastAsiaTheme="minorHAnsi" w:hAnsi="Tahoma" w:cs="Tahoma"/>
          <w:color w:val="000000"/>
          <w:sz w:val="22"/>
          <w:szCs w:val="22"/>
        </w:rPr>
        <w:t>atendiendo a la reconformación de la Primera Sala del Tribunal d</w:t>
      </w:r>
      <w:r>
        <w:rPr>
          <w:rFonts w:ascii="Tahoma" w:eastAsiaTheme="minorHAnsi" w:hAnsi="Tahoma" w:cs="Tahoma"/>
          <w:color w:val="000000"/>
          <w:sz w:val="22"/>
          <w:szCs w:val="22"/>
        </w:rPr>
        <w:t>e Contrataciones</w:t>
      </w:r>
      <w:r w:rsidRPr="00864326">
        <w:rPr>
          <w:rFonts w:ascii="Tahoma" w:eastAsiaTheme="minorHAnsi" w:hAnsi="Tahoma" w:cs="Tahoma"/>
          <w:color w:val="000000"/>
          <w:sz w:val="22"/>
          <w:szCs w:val="22"/>
        </w:rPr>
        <w:t xml:space="preserve"> del Estado, según lo dispuesto en la </w:t>
      </w:r>
      <w:r w:rsidRPr="00864326">
        <w:rPr>
          <w:rFonts w:ascii="Tahoma" w:eastAsiaTheme="minorHAnsi" w:hAnsi="Tahoma" w:cs="Tahoma"/>
          <w:color w:val="000000"/>
          <w:sz w:val="22"/>
          <w:szCs w:val="22"/>
        </w:rPr>
        <w:lastRenderedPageBreak/>
        <w:t>Resolución № 103-2011-OSCE/PRE, expedida el 15 de febrero de 2011; y, en ejercicio de las facultades conferidas en los artículos 51 y 63 de la Ley de Contrataciones del Estado, aprobada por Decreto Le</w:t>
      </w:r>
      <w:r>
        <w:rPr>
          <w:rFonts w:ascii="Tahoma" w:eastAsiaTheme="minorHAnsi" w:hAnsi="Tahoma" w:cs="Tahoma"/>
          <w:color w:val="000000"/>
          <w:sz w:val="22"/>
          <w:szCs w:val="22"/>
        </w:rPr>
        <w:t>gislativo № 1017</w:t>
      </w:r>
      <w:r w:rsidRPr="00864326">
        <w:rPr>
          <w:rFonts w:ascii="Tahoma" w:eastAsiaTheme="minorHAnsi" w:hAnsi="Tahoma" w:cs="Tahoma"/>
          <w:color w:val="000000"/>
          <w:sz w:val="22"/>
          <w:szCs w:val="22"/>
        </w:rPr>
        <w:t>, y los artículos 17 y 18 del Reglamento de Organización y Funciones del OSCE, aprobado por Decreto Supremo № 006-2009-EF, analizados los antecedentes y luego de agotado el debate correspondiente, por unanimidad</w:t>
      </w:r>
    </w:p>
    <w:p w:rsidR="002B7AFB" w:rsidRPr="00A85917" w:rsidRDefault="002B7AFB" w:rsidP="002B7AFB">
      <w:pPr>
        <w:ind w:firstLine="426"/>
        <w:jc w:val="both"/>
        <w:rPr>
          <w:rFonts w:ascii="Tahoma" w:hAnsi="Tahoma" w:cs="Tahoma"/>
          <w:sz w:val="23"/>
          <w:szCs w:val="23"/>
        </w:rPr>
      </w:pPr>
    </w:p>
    <w:p w:rsidR="002B7AFB" w:rsidRPr="00A85917" w:rsidRDefault="002B7AFB" w:rsidP="002B7AFB">
      <w:pPr>
        <w:ind w:firstLine="567"/>
        <w:jc w:val="both"/>
        <w:rPr>
          <w:rFonts w:ascii="Tahoma" w:hAnsi="Tahoma" w:cs="Tahoma"/>
          <w:b/>
          <w:sz w:val="23"/>
          <w:szCs w:val="23"/>
        </w:rPr>
      </w:pPr>
      <w:r w:rsidRPr="00A85917">
        <w:rPr>
          <w:rFonts w:ascii="Tahoma" w:hAnsi="Tahoma" w:cs="Tahoma"/>
          <w:b/>
          <w:sz w:val="23"/>
          <w:szCs w:val="23"/>
        </w:rPr>
        <w:t xml:space="preserve">LA SALA RESUELVE: </w:t>
      </w:r>
    </w:p>
    <w:p w:rsidR="002B7AFB" w:rsidRPr="00A85917" w:rsidRDefault="002B7AFB" w:rsidP="002B7AFB">
      <w:pPr>
        <w:jc w:val="both"/>
        <w:rPr>
          <w:rFonts w:ascii="Tahoma" w:hAnsi="Tahoma" w:cs="Tahoma"/>
          <w:snapToGrid w:val="0"/>
          <w:sz w:val="23"/>
          <w:szCs w:val="23"/>
        </w:rPr>
      </w:pPr>
    </w:p>
    <w:p w:rsidR="002B7AFB" w:rsidRPr="00367170" w:rsidRDefault="002B7AFB" w:rsidP="002B7AFB">
      <w:pPr>
        <w:pStyle w:val="Sangradetextonormal"/>
        <w:numPr>
          <w:ilvl w:val="0"/>
          <w:numId w:val="9"/>
        </w:numPr>
        <w:spacing w:after="0"/>
        <w:ind w:left="567" w:hanging="567"/>
        <w:jc w:val="both"/>
        <w:rPr>
          <w:rFonts w:ascii="Tahoma" w:hAnsi="Tahoma" w:cs="Tahoma"/>
          <w:sz w:val="22"/>
          <w:szCs w:val="22"/>
          <w:lang w:val="es-PE"/>
        </w:rPr>
      </w:pPr>
      <w:r w:rsidRPr="00367170">
        <w:rPr>
          <w:rFonts w:ascii="Tahoma" w:hAnsi="Tahoma" w:cs="Tahoma"/>
          <w:sz w:val="22"/>
          <w:szCs w:val="22"/>
        </w:rPr>
        <w:t>Declarar no ha lugar la imposición de sanción administrati</w:t>
      </w:r>
      <w:r>
        <w:rPr>
          <w:rFonts w:ascii="Tahoma" w:hAnsi="Tahoma" w:cs="Tahoma"/>
          <w:sz w:val="22"/>
          <w:szCs w:val="22"/>
        </w:rPr>
        <w:t>va de inhabilitación temporal a</w:t>
      </w:r>
      <w:r w:rsidRPr="00367170">
        <w:rPr>
          <w:rFonts w:ascii="Tahoma" w:hAnsi="Tahoma" w:cs="Tahoma"/>
          <w:sz w:val="22"/>
          <w:szCs w:val="22"/>
        </w:rPr>
        <w:t xml:space="preserve"> </w:t>
      </w:r>
      <w:r>
        <w:rPr>
          <w:rFonts w:ascii="Tahoma" w:hAnsi="Tahoma" w:cs="Tahoma"/>
          <w:sz w:val="22"/>
          <w:szCs w:val="22"/>
        </w:rPr>
        <w:t xml:space="preserve">la empresa </w:t>
      </w:r>
      <w:r w:rsidRPr="007872E9">
        <w:rPr>
          <w:rFonts w:ascii="Tahoma" w:hAnsi="Tahoma" w:cs="Tahoma"/>
          <w:sz w:val="22"/>
          <w:szCs w:val="22"/>
        </w:rPr>
        <w:t>M &amp; T CONSULTING PERU S.A.C.</w:t>
      </w:r>
    </w:p>
    <w:p w:rsidR="002B7AFB" w:rsidRPr="00367170" w:rsidRDefault="002B7AFB" w:rsidP="002B7AFB">
      <w:pPr>
        <w:pStyle w:val="Sangradetextonormal"/>
        <w:spacing w:after="0"/>
        <w:ind w:left="567"/>
        <w:jc w:val="both"/>
        <w:rPr>
          <w:rFonts w:ascii="Tahoma" w:hAnsi="Tahoma" w:cs="Tahoma"/>
          <w:sz w:val="22"/>
          <w:szCs w:val="22"/>
          <w:lang w:val="es-PE"/>
        </w:rPr>
      </w:pPr>
    </w:p>
    <w:p w:rsidR="002B7AFB" w:rsidRPr="00367170" w:rsidRDefault="002B7AFB" w:rsidP="002B7AFB">
      <w:pPr>
        <w:pStyle w:val="Sangradetextonormal"/>
        <w:numPr>
          <w:ilvl w:val="0"/>
          <w:numId w:val="9"/>
        </w:numPr>
        <w:spacing w:after="0"/>
        <w:ind w:left="567" w:hanging="567"/>
        <w:jc w:val="both"/>
        <w:rPr>
          <w:rFonts w:ascii="Tahoma" w:hAnsi="Tahoma" w:cs="Tahoma"/>
          <w:sz w:val="22"/>
          <w:szCs w:val="22"/>
          <w:lang w:val="es-PE"/>
        </w:rPr>
      </w:pPr>
      <w:r w:rsidRPr="00367170">
        <w:rPr>
          <w:rFonts w:ascii="Tahoma" w:hAnsi="Tahoma" w:cs="Tahoma"/>
          <w:sz w:val="22"/>
          <w:szCs w:val="22"/>
        </w:rPr>
        <w:t>Poner en conocimiento del Órgano de Control Institucional de la Entidad la presente Resolución, para su conocimiento y fines pertinentes.</w:t>
      </w:r>
    </w:p>
    <w:p w:rsidR="002B7AFB" w:rsidRPr="002B7AFB" w:rsidRDefault="002B7AFB" w:rsidP="002B7AFB">
      <w:pPr>
        <w:pStyle w:val="Prrafodelista"/>
        <w:ind w:left="426"/>
        <w:jc w:val="both"/>
        <w:rPr>
          <w:rFonts w:ascii="Tahoma" w:hAnsi="Tahoma" w:cs="Tahoma"/>
          <w:color w:val="000000" w:themeColor="text1"/>
          <w:sz w:val="23"/>
          <w:szCs w:val="23"/>
          <w:lang w:val="es-PE"/>
        </w:rPr>
      </w:pPr>
    </w:p>
    <w:p w:rsidR="002B7AFB" w:rsidRPr="00A85917" w:rsidRDefault="002B7AFB" w:rsidP="002B7AFB">
      <w:pPr>
        <w:pStyle w:val="Textoindependiente21"/>
        <w:ind w:firstLine="567"/>
        <w:rPr>
          <w:rFonts w:cs="Tahoma"/>
          <w:sz w:val="23"/>
          <w:szCs w:val="23"/>
        </w:rPr>
      </w:pPr>
      <w:r w:rsidRPr="00A85917">
        <w:rPr>
          <w:rFonts w:cs="Tahoma"/>
          <w:sz w:val="23"/>
          <w:szCs w:val="23"/>
        </w:rPr>
        <w:t>Regístrese, comuníquese y publíquese.</w:t>
      </w:r>
    </w:p>
    <w:p w:rsidR="002B7AFB" w:rsidRPr="00A85917" w:rsidRDefault="002B7AFB" w:rsidP="002B7AFB">
      <w:pPr>
        <w:jc w:val="center"/>
        <w:rPr>
          <w:rFonts w:ascii="Tahoma" w:hAnsi="Tahoma" w:cs="Tahoma"/>
          <w:b/>
          <w:sz w:val="23"/>
          <w:szCs w:val="23"/>
        </w:rPr>
      </w:pPr>
    </w:p>
    <w:p w:rsidR="002B7AFB" w:rsidRPr="00A85917" w:rsidRDefault="002B7AFB" w:rsidP="002B7AFB">
      <w:pPr>
        <w:jc w:val="center"/>
        <w:rPr>
          <w:rFonts w:ascii="Tahoma" w:hAnsi="Tahoma" w:cs="Tahoma"/>
          <w:b/>
          <w:sz w:val="23"/>
          <w:szCs w:val="23"/>
        </w:rPr>
      </w:pPr>
    </w:p>
    <w:p w:rsidR="002B7AFB" w:rsidRPr="00A85917" w:rsidRDefault="002B7AFB" w:rsidP="002B7AFB">
      <w:pPr>
        <w:jc w:val="center"/>
        <w:rPr>
          <w:rFonts w:ascii="Tahoma" w:hAnsi="Tahoma" w:cs="Tahoma"/>
          <w:b/>
          <w:sz w:val="23"/>
          <w:szCs w:val="23"/>
        </w:rPr>
      </w:pPr>
    </w:p>
    <w:p w:rsidR="002B7AFB" w:rsidRPr="00A85917" w:rsidRDefault="002B7AFB" w:rsidP="002B7AFB">
      <w:pPr>
        <w:jc w:val="center"/>
        <w:rPr>
          <w:rFonts w:ascii="Tahoma" w:hAnsi="Tahoma" w:cs="Tahoma"/>
          <w:b/>
          <w:sz w:val="23"/>
          <w:szCs w:val="23"/>
        </w:rPr>
      </w:pPr>
    </w:p>
    <w:p w:rsidR="002B7AFB" w:rsidRDefault="002B7AFB" w:rsidP="002B7AFB">
      <w:pPr>
        <w:jc w:val="center"/>
        <w:rPr>
          <w:rFonts w:ascii="Tahoma" w:hAnsi="Tahoma" w:cs="Tahoma"/>
          <w:b/>
          <w:sz w:val="23"/>
          <w:szCs w:val="23"/>
        </w:rPr>
      </w:pPr>
    </w:p>
    <w:p w:rsidR="002B7AFB" w:rsidRDefault="002B7AFB" w:rsidP="002B7AFB">
      <w:pPr>
        <w:jc w:val="center"/>
        <w:rPr>
          <w:rFonts w:ascii="Tahoma" w:hAnsi="Tahoma" w:cs="Tahoma"/>
          <w:b/>
          <w:sz w:val="23"/>
          <w:szCs w:val="23"/>
        </w:rPr>
      </w:pPr>
    </w:p>
    <w:p w:rsidR="002B7AFB" w:rsidRPr="00A85917" w:rsidRDefault="002B7AFB" w:rsidP="002B7AFB">
      <w:pPr>
        <w:jc w:val="center"/>
        <w:rPr>
          <w:rFonts w:ascii="Tahoma" w:hAnsi="Tahoma" w:cs="Tahoma"/>
          <w:b/>
          <w:sz w:val="23"/>
          <w:szCs w:val="23"/>
        </w:rPr>
      </w:pPr>
    </w:p>
    <w:p w:rsidR="002B7AFB" w:rsidRPr="00A85917" w:rsidRDefault="002B7AFB" w:rsidP="002B7AFB">
      <w:pPr>
        <w:jc w:val="center"/>
        <w:rPr>
          <w:rFonts w:ascii="Tahoma" w:hAnsi="Tahoma" w:cs="Tahoma"/>
          <w:b/>
          <w:sz w:val="23"/>
          <w:szCs w:val="23"/>
        </w:rPr>
      </w:pPr>
    </w:p>
    <w:p w:rsidR="002B7AFB" w:rsidRPr="00A85917" w:rsidRDefault="002B7AFB" w:rsidP="002B7AFB">
      <w:pPr>
        <w:jc w:val="center"/>
        <w:rPr>
          <w:rFonts w:ascii="Tahoma" w:hAnsi="Tahoma" w:cs="Tahoma"/>
          <w:b/>
          <w:sz w:val="23"/>
          <w:szCs w:val="23"/>
        </w:rPr>
      </w:pPr>
    </w:p>
    <w:p w:rsidR="002B7AFB" w:rsidRPr="00A85917" w:rsidRDefault="002B7AFB" w:rsidP="002B7AFB">
      <w:pPr>
        <w:jc w:val="center"/>
        <w:rPr>
          <w:rFonts w:ascii="Tahoma" w:hAnsi="Tahoma" w:cs="Tahoma"/>
          <w:b/>
          <w:sz w:val="23"/>
          <w:szCs w:val="23"/>
        </w:rPr>
      </w:pPr>
    </w:p>
    <w:p w:rsidR="002B7AFB" w:rsidRPr="00A85917" w:rsidRDefault="002B7AFB" w:rsidP="002B7AFB">
      <w:pPr>
        <w:jc w:val="center"/>
        <w:rPr>
          <w:rFonts w:ascii="Tahoma" w:hAnsi="Tahoma" w:cs="Tahoma"/>
          <w:b/>
          <w:shadow/>
          <w:sz w:val="23"/>
          <w:szCs w:val="23"/>
          <w:lang w:val="pt-BR"/>
        </w:rPr>
      </w:pPr>
      <w:r w:rsidRPr="00A85917">
        <w:rPr>
          <w:rFonts w:ascii="Tahoma" w:hAnsi="Tahoma" w:cs="Tahoma"/>
          <w:b/>
          <w:shadow/>
          <w:sz w:val="23"/>
          <w:szCs w:val="23"/>
          <w:lang w:val="pt-BR"/>
        </w:rPr>
        <w:t>PRESIDENTE</w:t>
      </w:r>
    </w:p>
    <w:p w:rsidR="002B7AFB" w:rsidRPr="00A85917" w:rsidRDefault="002B7AFB" w:rsidP="002B7AFB">
      <w:pPr>
        <w:ind w:firstLine="708"/>
        <w:rPr>
          <w:rFonts w:ascii="Tahoma" w:hAnsi="Tahoma" w:cs="Tahoma"/>
          <w:b/>
          <w:shadow/>
          <w:sz w:val="23"/>
          <w:szCs w:val="23"/>
          <w:lang w:val="pt-BR"/>
        </w:rPr>
      </w:pPr>
    </w:p>
    <w:p w:rsidR="002B7AFB" w:rsidRPr="00A85917" w:rsidRDefault="002B7AFB" w:rsidP="002B7AFB">
      <w:pPr>
        <w:ind w:firstLine="708"/>
        <w:rPr>
          <w:rFonts w:ascii="Tahoma" w:hAnsi="Tahoma" w:cs="Tahoma"/>
          <w:b/>
          <w:shadow/>
          <w:sz w:val="23"/>
          <w:szCs w:val="23"/>
          <w:lang w:val="pt-BR"/>
        </w:rPr>
      </w:pPr>
      <w:r w:rsidRPr="00A85917">
        <w:rPr>
          <w:rFonts w:ascii="Tahoma" w:hAnsi="Tahoma" w:cs="Tahoma"/>
          <w:b/>
          <w:shadow/>
          <w:sz w:val="23"/>
          <w:szCs w:val="23"/>
          <w:lang w:val="pt-BR"/>
        </w:rPr>
        <w:t xml:space="preserve">VOCAL           </w:t>
      </w:r>
      <w:r w:rsidRPr="00A85917">
        <w:rPr>
          <w:rFonts w:ascii="Tahoma" w:hAnsi="Tahoma" w:cs="Tahoma"/>
          <w:b/>
          <w:shadow/>
          <w:sz w:val="23"/>
          <w:szCs w:val="23"/>
          <w:lang w:val="pt-BR"/>
        </w:rPr>
        <w:tab/>
      </w:r>
      <w:r w:rsidRPr="00A85917">
        <w:rPr>
          <w:rFonts w:ascii="Tahoma" w:hAnsi="Tahoma" w:cs="Tahoma"/>
          <w:b/>
          <w:shadow/>
          <w:sz w:val="23"/>
          <w:szCs w:val="23"/>
          <w:lang w:val="pt-BR"/>
        </w:rPr>
        <w:tab/>
        <w:t xml:space="preserve">                                                     VOCAL</w:t>
      </w:r>
    </w:p>
    <w:p w:rsidR="002B7AFB" w:rsidRPr="00A85917" w:rsidRDefault="002B7AFB" w:rsidP="002B7AFB">
      <w:pPr>
        <w:ind w:firstLine="708"/>
        <w:rPr>
          <w:rFonts w:ascii="Tahoma" w:hAnsi="Tahoma" w:cs="Tahoma"/>
          <w:b/>
          <w:shadow/>
          <w:sz w:val="23"/>
          <w:szCs w:val="23"/>
          <w:lang w:val="pt-BR"/>
        </w:rPr>
      </w:pPr>
    </w:p>
    <w:p w:rsidR="002B7AFB" w:rsidRPr="00D96478" w:rsidRDefault="002B7AFB" w:rsidP="002B7AFB">
      <w:pPr>
        <w:jc w:val="both"/>
        <w:rPr>
          <w:rFonts w:ascii="Tahoma" w:hAnsi="Tahoma" w:cs="Tahoma"/>
          <w:sz w:val="23"/>
          <w:szCs w:val="23"/>
          <w:lang w:val="pt-BR"/>
        </w:rPr>
      </w:pPr>
      <w:r w:rsidRPr="00A85917">
        <w:rPr>
          <w:rFonts w:ascii="Tahoma" w:hAnsi="Tahoma" w:cs="Tahoma"/>
          <w:sz w:val="23"/>
          <w:szCs w:val="23"/>
          <w:lang w:val="pt-BR"/>
        </w:rPr>
        <w:t>ss.</w:t>
      </w:r>
    </w:p>
    <w:p w:rsidR="002B7AFB" w:rsidRPr="00864326" w:rsidRDefault="002B7AFB" w:rsidP="002B7AFB">
      <w:pPr>
        <w:pStyle w:val="Textoindependiente21"/>
        <w:tabs>
          <w:tab w:val="left" w:pos="5250"/>
        </w:tabs>
        <w:rPr>
          <w:rFonts w:cs="Tahoma"/>
          <w:szCs w:val="22"/>
          <w:lang w:val="pt-BR"/>
        </w:rPr>
      </w:pPr>
      <w:r w:rsidRPr="00864326">
        <w:rPr>
          <w:rFonts w:cs="Tahoma"/>
          <w:szCs w:val="22"/>
          <w:lang w:val="pt-BR"/>
        </w:rPr>
        <w:t>Navas Rondón.</w:t>
      </w:r>
    </w:p>
    <w:p w:rsidR="002B7AFB" w:rsidRPr="00864326" w:rsidRDefault="002B7AFB" w:rsidP="002B7AFB">
      <w:pPr>
        <w:pStyle w:val="Textoindependiente21"/>
        <w:tabs>
          <w:tab w:val="left" w:pos="5250"/>
        </w:tabs>
        <w:rPr>
          <w:rFonts w:cs="Tahoma"/>
          <w:szCs w:val="22"/>
          <w:lang w:val="pt-BR"/>
        </w:rPr>
      </w:pPr>
      <w:r w:rsidRPr="00864326">
        <w:rPr>
          <w:rFonts w:cs="Tahoma"/>
          <w:szCs w:val="22"/>
        </w:rPr>
        <w:t>Ramírez Maynetto.</w:t>
      </w:r>
    </w:p>
    <w:p w:rsidR="002B7AFB" w:rsidRPr="00864326" w:rsidRDefault="002B7AFB" w:rsidP="002B7AFB">
      <w:pPr>
        <w:pStyle w:val="Textoindependiente21"/>
        <w:rPr>
          <w:rFonts w:cs="Tahoma"/>
          <w:szCs w:val="22"/>
        </w:rPr>
      </w:pPr>
      <w:r w:rsidRPr="00864326">
        <w:rPr>
          <w:rFonts w:cs="Tahoma"/>
          <w:szCs w:val="22"/>
        </w:rPr>
        <w:t>Basulto Liewald.</w:t>
      </w:r>
    </w:p>
    <w:p w:rsidR="008B738B" w:rsidRDefault="008B2245"/>
    <w:sectPr w:rsidR="008B738B" w:rsidSect="002B7AFB">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245" w:rsidRDefault="008B2245" w:rsidP="002B7AFB">
      <w:r>
        <w:separator/>
      </w:r>
    </w:p>
  </w:endnote>
  <w:endnote w:type="continuationSeparator" w:id="1">
    <w:p w:rsidR="008B2245" w:rsidRDefault="008B2245" w:rsidP="002B7A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23032"/>
      <w:docPartObj>
        <w:docPartGallery w:val="Page Numbers (Bottom of Page)"/>
        <w:docPartUnique/>
      </w:docPartObj>
    </w:sdtPr>
    <w:sdtContent>
      <w:sdt>
        <w:sdtPr>
          <w:id w:val="216747541"/>
          <w:docPartObj>
            <w:docPartGallery w:val="Page Numbers (Top of Page)"/>
            <w:docPartUnique/>
          </w:docPartObj>
        </w:sdtPr>
        <w:sdtContent>
          <w:p w:rsidR="00830F95" w:rsidRDefault="00830F95">
            <w:pPr>
              <w:pStyle w:val="Piedepgina"/>
              <w:jc w:val="center"/>
            </w:pPr>
            <w:r>
              <w:t xml:space="preserve">Página </w:t>
            </w:r>
            <w:r w:rsidR="00F1014B">
              <w:rPr>
                <w:b/>
              </w:rPr>
              <w:fldChar w:fldCharType="begin"/>
            </w:r>
            <w:r>
              <w:rPr>
                <w:b/>
              </w:rPr>
              <w:instrText>PAGE</w:instrText>
            </w:r>
            <w:r w:rsidR="00F1014B">
              <w:rPr>
                <w:b/>
              </w:rPr>
              <w:fldChar w:fldCharType="separate"/>
            </w:r>
            <w:r w:rsidR="00B07267">
              <w:rPr>
                <w:b/>
                <w:noProof/>
              </w:rPr>
              <w:t>1</w:t>
            </w:r>
            <w:r w:rsidR="00F1014B">
              <w:rPr>
                <w:b/>
              </w:rPr>
              <w:fldChar w:fldCharType="end"/>
            </w:r>
            <w:r>
              <w:t xml:space="preserve"> de </w:t>
            </w:r>
            <w:r w:rsidR="00F1014B">
              <w:rPr>
                <w:b/>
              </w:rPr>
              <w:fldChar w:fldCharType="begin"/>
            </w:r>
            <w:r>
              <w:rPr>
                <w:b/>
              </w:rPr>
              <w:instrText>NUMPAGES</w:instrText>
            </w:r>
            <w:r w:rsidR="00F1014B">
              <w:rPr>
                <w:b/>
              </w:rPr>
              <w:fldChar w:fldCharType="separate"/>
            </w:r>
            <w:r w:rsidR="00B07267">
              <w:rPr>
                <w:b/>
                <w:noProof/>
              </w:rPr>
              <w:t>8</w:t>
            </w:r>
            <w:r w:rsidR="00F1014B">
              <w:rPr>
                <w:b/>
              </w:rPr>
              <w:fldChar w:fldCharType="end"/>
            </w:r>
          </w:p>
        </w:sdtContent>
      </w:sdt>
    </w:sdtContent>
  </w:sdt>
  <w:p w:rsidR="00830F95" w:rsidRDefault="00830F9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245" w:rsidRDefault="008B2245" w:rsidP="002B7AFB">
      <w:r>
        <w:separator/>
      </w:r>
    </w:p>
  </w:footnote>
  <w:footnote w:type="continuationSeparator" w:id="1">
    <w:p w:rsidR="008B2245" w:rsidRDefault="008B2245" w:rsidP="002B7AFB">
      <w:r>
        <w:continuationSeparator/>
      </w:r>
    </w:p>
  </w:footnote>
  <w:footnote w:id="2">
    <w:p w:rsidR="002B7AFB" w:rsidRPr="000C52C3" w:rsidRDefault="002B7AFB" w:rsidP="002B7AFB">
      <w:pPr>
        <w:pStyle w:val="Textonotapie"/>
        <w:rPr>
          <w:rFonts w:ascii="Tahoma" w:hAnsi="Tahoma" w:cs="Tahoma"/>
          <w:sz w:val="16"/>
          <w:szCs w:val="16"/>
        </w:rPr>
      </w:pPr>
      <w:r w:rsidRPr="000C52C3">
        <w:rPr>
          <w:rStyle w:val="Refdenotaalpie"/>
          <w:rFonts w:ascii="Tahoma" w:hAnsi="Tahoma" w:cs="Tahoma"/>
          <w:sz w:val="16"/>
          <w:szCs w:val="16"/>
        </w:rPr>
        <w:footnoteRef/>
      </w:r>
      <w:r w:rsidRPr="000C52C3">
        <w:rPr>
          <w:rFonts w:ascii="Tahoma" w:hAnsi="Tahoma" w:cs="Tahoma"/>
          <w:sz w:val="16"/>
          <w:szCs w:val="16"/>
        </w:rPr>
        <w:t xml:space="preserve"> Aprobado por Decreto Legislativo Nº 1017.</w:t>
      </w:r>
    </w:p>
    <w:p w:rsidR="002B7AFB" w:rsidRPr="000C52C3" w:rsidRDefault="002B7AFB" w:rsidP="002B7AFB">
      <w:pPr>
        <w:pStyle w:val="Textonotapie"/>
        <w:rPr>
          <w:rFonts w:ascii="Tahoma" w:hAnsi="Tahoma" w:cs="Tahoma"/>
          <w:sz w:val="16"/>
          <w:szCs w:val="16"/>
        </w:rPr>
      </w:pPr>
    </w:p>
  </w:footnote>
  <w:footnote w:id="3">
    <w:p w:rsidR="002B7AFB" w:rsidRPr="000C52C3" w:rsidRDefault="002B7AFB" w:rsidP="002B7AFB">
      <w:pPr>
        <w:pStyle w:val="Textonotapie"/>
        <w:rPr>
          <w:rFonts w:ascii="Tahoma" w:eastAsia="Calibri" w:hAnsi="Tahoma" w:cs="Tahoma"/>
          <w:sz w:val="16"/>
          <w:szCs w:val="16"/>
          <w:lang w:eastAsia="en-US"/>
        </w:rPr>
      </w:pPr>
      <w:r w:rsidRPr="000C52C3">
        <w:rPr>
          <w:rStyle w:val="Refdenotaalpie"/>
          <w:rFonts w:ascii="Tahoma" w:hAnsi="Tahoma" w:cs="Tahoma"/>
          <w:sz w:val="16"/>
          <w:szCs w:val="16"/>
        </w:rPr>
        <w:footnoteRef/>
      </w:r>
      <w:r w:rsidRPr="000C52C3">
        <w:rPr>
          <w:rFonts w:ascii="Tahoma" w:hAnsi="Tahoma" w:cs="Tahoma"/>
          <w:sz w:val="16"/>
          <w:szCs w:val="16"/>
        </w:rPr>
        <w:t xml:space="preserve"> Aprobado por </w:t>
      </w:r>
      <w:r w:rsidRPr="000C52C3">
        <w:rPr>
          <w:rFonts w:ascii="Tahoma" w:eastAsia="Calibri" w:hAnsi="Tahoma" w:cs="Tahoma"/>
          <w:sz w:val="16"/>
          <w:szCs w:val="16"/>
          <w:lang w:eastAsia="en-US"/>
        </w:rPr>
        <w:t>Decreto Supremo Nº 184-2008-EF.</w:t>
      </w:r>
    </w:p>
    <w:p w:rsidR="002B7AFB" w:rsidRPr="000C52C3" w:rsidRDefault="002B7AFB" w:rsidP="002B7AFB">
      <w:pPr>
        <w:pStyle w:val="Textonotapie"/>
        <w:rPr>
          <w:rFonts w:ascii="Tahoma" w:hAnsi="Tahoma" w:cs="Tahoma"/>
          <w:sz w:val="16"/>
          <w:szCs w:val="16"/>
        </w:rPr>
      </w:pPr>
    </w:p>
  </w:footnote>
  <w:footnote w:id="4">
    <w:p w:rsidR="002B7AFB" w:rsidRPr="000C52C3" w:rsidRDefault="002B7AFB" w:rsidP="002B7AFB">
      <w:pPr>
        <w:pStyle w:val="Textonotapie"/>
        <w:ind w:left="154" w:hanging="140"/>
        <w:jc w:val="both"/>
        <w:rPr>
          <w:rFonts w:ascii="Tahoma" w:hAnsi="Tahoma" w:cs="Tahoma"/>
          <w:sz w:val="16"/>
          <w:szCs w:val="16"/>
        </w:rPr>
      </w:pPr>
      <w:r w:rsidRPr="000C52C3">
        <w:rPr>
          <w:rStyle w:val="Refdenotaalpie"/>
          <w:rFonts w:ascii="Tahoma" w:hAnsi="Tahoma" w:cs="Tahoma"/>
          <w:sz w:val="16"/>
          <w:szCs w:val="16"/>
        </w:rPr>
        <w:footnoteRef/>
      </w:r>
      <w:r w:rsidRPr="000C52C3">
        <w:rPr>
          <w:rFonts w:ascii="Tahoma" w:hAnsi="Tahoma" w:cs="Tahoma"/>
          <w:sz w:val="16"/>
          <w:szCs w:val="16"/>
        </w:rPr>
        <w:t xml:space="preserve"> Resolución Nº 1217-2008-TC-S3,  Resolución Nº 963-2007-TC-S1, Resolución Nº 336-2007-TC-S1, entre otras.</w:t>
      </w:r>
    </w:p>
    <w:p w:rsidR="002B7AFB" w:rsidRPr="000C52C3" w:rsidRDefault="002B7AFB" w:rsidP="002B7AFB">
      <w:pPr>
        <w:pStyle w:val="Textonotapie"/>
        <w:rPr>
          <w:rFonts w:ascii="Tahoma" w:hAnsi="Tahoma" w:cs="Tahoma"/>
          <w:sz w:val="16"/>
          <w:szCs w:val="16"/>
        </w:rPr>
      </w:pPr>
    </w:p>
  </w:footnote>
  <w:footnote w:id="5">
    <w:p w:rsidR="002B7AFB" w:rsidRPr="00F23905" w:rsidRDefault="002B7AFB" w:rsidP="002B7AFB">
      <w:pPr>
        <w:pStyle w:val="Textonotapie"/>
        <w:jc w:val="both"/>
        <w:rPr>
          <w:rFonts w:ascii="Tahoma" w:hAnsi="Tahoma" w:cs="Tahoma"/>
          <w:b/>
          <w:bCs/>
          <w:i/>
          <w:sz w:val="16"/>
          <w:szCs w:val="16"/>
        </w:rPr>
      </w:pPr>
      <w:r w:rsidRPr="0019284F">
        <w:rPr>
          <w:rStyle w:val="Refdenotaalpie"/>
          <w:rFonts w:ascii="Tahoma" w:hAnsi="Tahoma" w:cs="Tahoma"/>
        </w:rPr>
        <w:footnoteRef/>
      </w:r>
      <w:r>
        <w:t xml:space="preserve"> </w:t>
      </w:r>
      <w:r w:rsidRPr="00F23905">
        <w:rPr>
          <w:rFonts w:ascii="Tahoma" w:hAnsi="Tahoma" w:cs="Tahoma"/>
          <w:b/>
          <w:bCs/>
          <w:i/>
          <w:sz w:val="16"/>
          <w:szCs w:val="16"/>
        </w:rPr>
        <w:t>Artículo 75º.- Notificación del otorgamiento de la Buena Pro</w:t>
      </w:r>
    </w:p>
    <w:p w:rsidR="002B7AFB" w:rsidRPr="00F23905" w:rsidRDefault="002B7AFB" w:rsidP="002B7AFB">
      <w:pPr>
        <w:pStyle w:val="Textonotapie"/>
        <w:ind w:left="142"/>
        <w:jc w:val="both"/>
        <w:rPr>
          <w:rFonts w:ascii="Tahoma" w:hAnsi="Tahoma" w:cs="Tahoma"/>
          <w:i/>
          <w:sz w:val="16"/>
          <w:szCs w:val="16"/>
        </w:rPr>
      </w:pPr>
      <w:r w:rsidRPr="00371E4D">
        <w:rPr>
          <w:rFonts w:ascii="Tahoma" w:hAnsi="Tahoma" w:cs="Tahoma"/>
          <w:i/>
          <w:sz w:val="16"/>
          <w:szCs w:val="16"/>
          <w:u w:val="single"/>
        </w:rPr>
        <w:t>El otorgamiento de la Buena Pro en acto público se presumirá notificado a todos los postores en la misma fecha</w:t>
      </w:r>
      <w:r w:rsidRPr="00F23905">
        <w:rPr>
          <w:rFonts w:ascii="Tahoma" w:hAnsi="Tahoma" w:cs="Tahoma"/>
          <w:i/>
          <w:sz w:val="16"/>
          <w:szCs w:val="16"/>
        </w:rPr>
        <w:t>, oportunidad en la que se entregará a los postores copia del acta de otorgamiento de la Buena Pro y el cuadro comparativo, detallando los resultados en cada factor de evaluación. Dicha presunción no admite prueba en contrario.  Esta información se publicará el mismo día en el SEACE.</w:t>
      </w:r>
    </w:p>
    <w:p w:rsidR="002B7AFB" w:rsidRDefault="002B7AFB" w:rsidP="002B7AFB">
      <w:pPr>
        <w:pStyle w:val="Textonotapie"/>
        <w:ind w:left="142"/>
        <w:jc w:val="both"/>
        <w:rPr>
          <w:rFonts w:ascii="Tahoma" w:hAnsi="Tahoma" w:cs="Tahoma"/>
          <w:i/>
          <w:sz w:val="16"/>
          <w:szCs w:val="16"/>
        </w:rPr>
      </w:pPr>
      <w:r w:rsidRPr="00F23905">
        <w:rPr>
          <w:rFonts w:ascii="Tahoma" w:hAnsi="Tahoma" w:cs="Tahoma"/>
          <w:i/>
          <w:sz w:val="16"/>
          <w:szCs w:val="16"/>
        </w:rPr>
        <w:t>El otorgamiento de la Buena Pro en acto privado se publicará y se entenderá notificado a través del SEACE, el mismo día de su realización, bajo responsabilidad del Comité Especial u órgano encargado de conducir el proceso, debiendo incluir el acta de otorgamiento de la Buena Pro y el cuadro comparativo, detallando los resultados en cada factor de evaluación.  Adicionalmente, se podrá notificar a los correos electrónicos de los postores, de ser el caso.</w:t>
      </w:r>
    </w:p>
    <w:p w:rsidR="002B7AFB" w:rsidRDefault="002B7AFB" w:rsidP="002B7AFB">
      <w:pPr>
        <w:pStyle w:val="Textonotapie"/>
        <w:ind w:left="142"/>
        <w:jc w:val="both"/>
        <w:rPr>
          <w:rFonts w:ascii="Tahoma" w:eastAsia="Calibri" w:hAnsi="Tahoma" w:cs="Tahoma"/>
          <w:color w:val="101010"/>
          <w:sz w:val="16"/>
          <w:szCs w:val="16"/>
        </w:rPr>
      </w:pPr>
      <w:r>
        <w:rPr>
          <w:rFonts w:ascii="Tahoma" w:eastAsia="Calibri" w:hAnsi="Tahoma" w:cs="Tahoma"/>
          <w:color w:val="101010"/>
          <w:sz w:val="16"/>
          <w:szCs w:val="16"/>
        </w:rPr>
        <w:t>(El subrayado es nuestro).</w:t>
      </w:r>
    </w:p>
    <w:p w:rsidR="002B7AFB" w:rsidRPr="00F23905" w:rsidRDefault="002B7AFB" w:rsidP="002B7AFB">
      <w:pPr>
        <w:pStyle w:val="Textonotapie"/>
        <w:ind w:left="142"/>
        <w:jc w:val="both"/>
        <w:rPr>
          <w:rFonts w:ascii="Tahoma" w:hAnsi="Tahoma" w:cs="Tahoma"/>
          <w:i/>
          <w:sz w:val="16"/>
          <w:szCs w:val="16"/>
        </w:rPr>
      </w:pPr>
    </w:p>
  </w:footnote>
  <w:footnote w:id="6">
    <w:p w:rsidR="002B7AFB" w:rsidRPr="00F23905" w:rsidRDefault="002B7AFB" w:rsidP="002B7AFB">
      <w:pPr>
        <w:pStyle w:val="Textonotapie"/>
        <w:jc w:val="both"/>
        <w:rPr>
          <w:rFonts w:ascii="Tahoma" w:eastAsia="Calibri" w:hAnsi="Tahoma" w:cs="Tahoma"/>
          <w:b/>
          <w:bCs/>
          <w:i/>
          <w:color w:val="101010"/>
          <w:sz w:val="16"/>
          <w:szCs w:val="16"/>
        </w:rPr>
      </w:pPr>
      <w:r w:rsidRPr="007A717D">
        <w:rPr>
          <w:rStyle w:val="Refdenotaalpie"/>
          <w:rFonts w:ascii="Tahoma" w:hAnsi="Tahoma" w:cs="Tahoma"/>
        </w:rPr>
        <w:footnoteRef/>
      </w:r>
      <w:r>
        <w:t xml:space="preserve"> </w:t>
      </w:r>
      <w:r w:rsidRPr="00F23905">
        <w:rPr>
          <w:rFonts w:ascii="Tahoma" w:eastAsia="Calibri" w:hAnsi="Tahoma" w:cs="Tahoma"/>
          <w:b/>
          <w:bCs/>
          <w:i/>
          <w:color w:val="101010"/>
          <w:sz w:val="16"/>
          <w:szCs w:val="16"/>
        </w:rPr>
        <w:t>Artículo 77º.- Consentimiento del otorgamiento de la Buena Pro</w:t>
      </w:r>
    </w:p>
    <w:p w:rsidR="002B7AFB" w:rsidRPr="00F23905" w:rsidRDefault="002B7AFB" w:rsidP="002B7AFB">
      <w:pPr>
        <w:autoSpaceDE w:val="0"/>
        <w:autoSpaceDN w:val="0"/>
        <w:adjustRightInd w:val="0"/>
        <w:ind w:left="142"/>
        <w:jc w:val="both"/>
        <w:rPr>
          <w:rFonts w:ascii="Tahoma" w:eastAsia="Calibri" w:hAnsi="Tahoma" w:cs="Tahoma"/>
          <w:i/>
          <w:color w:val="101010"/>
          <w:sz w:val="16"/>
          <w:szCs w:val="16"/>
        </w:rPr>
      </w:pPr>
      <w:r w:rsidRPr="00F23905">
        <w:rPr>
          <w:rFonts w:ascii="Tahoma" w:eastAsia="Calibri" w:hAnsi="Tahoma" w:cs="Tahoma"/>
          <w:i/>
          <w:color w:val="101010"/>
          <w:sz w:val="16"/>
          <w:szCs w:val="16"/>
        </w:rPr>
        <w:t>Cuando se hayan presentado dos (2) o más propuestas, el consentimiento de la Buena Pro se producirá a los ocho (8) días hábiles de la notificación de su otorgamiento, sin que los postores hayan ejercido el derecho de interponer el recurso de apelación. En el caso de Adjudicaciones Directas y de Adjudicaciones de Menor Cuantía, el plazo será de cinco (5) días hábiles. Para constatar que la Buena Pro quedó consentida, en el caso que corresponda interponer recurso de apelación ante el Tribunal, la Entidad deberá verificar en el detalle del proceso de selección registrado en el SEACE, si se interpuso el respectivo recurso impugnativo.</w:t>
      </w:r>
    </w:p>
    <w:p w:rsidR="002B7AFB" w:rsidRPr="00371E4D" w:rsidRDefault="002B7AFB" w:rsidP="002B7AFB">
      <w:pPr>
        <w:autoSpaceDE w:val="0"/>
        <w:autoSpaceDN w:val="0"/>
        <w:adjustRightInd w:val="0"/>
        <w:ind w:left="142"/>
        <w:jc w:val="both"/>
        <w:rPr>
          <w:rFonts w:ascii="Tahoma" w:eastAsia="Calibri" w:hAnsi="Tahoma" w:cs="Tahoma"/>
          <w:i/>
          <w:color w:val="101010"/>
          <w:sz w:val="16"/>
          <w:szCs w:val="16"/>
          <w:u w:val="single"/>
        </w:rPr>
      </w:pPr>
      <w:r w:rsidRPr="00371E4D">
        <w:rPr>
          <w:rFonts w:ascii="Tahoma" w:eastAsia="Calibri" w:hAnsi="Tahoma" w:cs="Tahoma"/>
          <w:i/>
          <w:color w:val="101010"/>
          <w:sz w:val="16"/>
          <w:szCs w:val="16"/>
          <w:u w:val="single"/>
        </w:rPr>
        <w:t>En caso que se haya presentado una sola oferta, el consentimiento de la Buena Pro se producirá el mismo día de la notificación de su otorgamiento.</w:t>
      </w:r>
    </w:p>
    <w:p w:rsidR="002B7AFB" w:rsidRPr="00F23905" w:rsidRDefault="002B7AFB" w:rsidP="002B7AFB">
      <w:pPr>
        <w:autoSpaceDE w:val="0"/>
        <w:autoSpaceDN w:val="0"/>
        <w:adjustRightInd w:val="0"/>
        <w:ind w:left="142"/>
        <w:jc w:val="both"/>
        <w:rPr>
          <w:rFonts w:ascii="Tahoma" w:eastAsia="Calibri" w:hAnsi="Tahoma" w:cs="Tahoma"/>
          <w:i/>
          <w:color w:val="101010"/>
          <w:sz w:val="16"/>
          <w:szCs w:val="16"/>
        </w:rPr>
      </w:pPr>
      <w:r w:rsidRPr="00F23905">
        <w:rPr>
          <w:rFonts w:ascii="Tahoma" w:eastAsia="Calibri" w:hAnsi="Tahoma" w:cs="Tahoma"/>
          <w:i/>
          <w:color w:val="101010"/>
          <w:sz w:val="16"/>
          <w:szCs w:val="16"/>
        </w:rPr>
        <w:t>Una vez consentido el otorgamiento de la Buena Pro, el Comité Especial remitirá el Expediente de Contratación al órgano encargado de las contrataciones de la Entidad, el que asumirá competencia desde ese momento para ejecutar los actos destinados a la formalización del contrato.</w:t>
      </w:r>
    </w:p>
    <w:p w:rsidR="002B7AFB" w:rsidRPr="00F23905" w:rsidRDefault="002B7AFB" w:rsidP="002B7AFB">
      <w:pPr>
        <w:autoSpaceDE w:val="0"/>
        <w:autoSpaceDN w:val="0"/>
        <w:adjustRightInd w:val="0"/>
        <w:ind w:left="142"/>
        <w:jc w:val="both"/>
        <w:rPr>
          <w:rFonts w:ascii="Tahoma" w:eastAsia="Calibri" w:hAnsi="Tahoma" w:cs="Tahoma"/>
          <w:i/>
          <w:color w:val="101010"/>
          <w:sz w:val="16"/>
          <w:szCs w:val="16"/>
        </w:rPr>
      </w:pPr>
      <w:r w:rsidRPr="00F23905">
        <w:rPr>
          <w:rFonts w:ascii="Tahoma" w:eastAsia="Calibri" w:hAnsi="Tahoma" w:cs="Tahoma"/>
          <w:i/>
          <w:color w:val="101010"/>
          <w:sz w:val="16"/>
          <w:szCs w:val="16"/>
        </w:rPr>
        <w:t>El consentimiento del otorgamiento de la Buena Pro deberá ser publicado en el SEACE al día siguiente de producido.</w:t>
      </w:r>
    </w:p>
    <w:p w:rsidR="002B7AFB" w:rsidRDefault="002B7AFB" w:rsidP="002B7AFB">
      <w:pPr>
        <w:autoSpaceDE w:val="0"/>
        <w:autoSpaceDN w:val="0"/>
        <w:adjustRightInd w:val="0"/>
        <w:ind w:left="142"/>
        <w:jc w:val="both"/>
        <w:rPr>
          <w:rFonts w:ascii="Tahoma" w:eastAsia="Calibri" w:hAnsi="Tahoma" w:cs="Tahoma"/>
          <w:color w:val="101010"/>
          <w:sz w:val="16"/>
          <w:szCs w:val="16"/>
        </w:rPr>
      </w:pPr>
      <w:r>
        <w:rPr>
          <w:rFonts w:ascii="Tahoma" w:eastAsia="Calibri" w:hAnsi="Tahoma" w:cs="Tahoma"/>
          <w:color w:val="101010"/>
          <w:sz w:val="16"/>
          <w:szCs w:val="16"/>
        </w:rPr>
        <w:t>(El subrayado es nuestro).</w:t>
      </w:r>
    </w:p>
    <w:p w:rsidR="002B7AFB" w:rsidRPr="00C942E3" w:rsidRDefault="002B7AFB" w:rsidP="002B7AFB">
      <w:pPr>
        <w:autoSpaceDE w:val="0"/>
        <w:autoSpaceDN w:val="0"/>
        <w:adjustRightInd w:val="0"/>
        <w:ind w:left="142"/>
        <w:jc w:val="both"/>
        <w:rPr>
          <w:rFonts w:ascii="Tahoma" w:hAnsi="Tahoma" w:cs="Tahoma"/>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67" w:rsidRDefault="00B07267" w:rsidP="00B07267">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07267" w:rsidRDefault="00B07267" w:rsidP="00B07267">
    <w:pPr>
      <w:pStyle w:val="Encabezado"/>
      <w:rPr>
        <w:noProof/>
      </w:rPr>
    </w:pPr>
  </w:p>
  <w:p w:rsidR="00B07267" w:rsidRDefault="00B07267" w:rsidP="00B07267">
    <w:pPr>
      <w:pStyle w:val="Encabezado"/>
      <w:rPr>
        <w:noProof/>
      </w:rPr>
    </w:pPr>
  </w:p>
  <w:p w:rsidR="00B07267" w:rsidRDefault="00B07267" w:rsidP="00B07267">
    <w:pPr>
      <w:pStyle w:val="Encabezado"/>
      <w:rPr>
        <w:noProof/>
      </w:rPr>
    </w:pPr>
  </w:p>
  <w:p w:rsidR="00B07267" w:rsidRDefault="00B07267" w:rsidP="00B07267">
    <w:pPr>
      <w:pStyle w:val="Encabezado"/>
      <w:jc w:val="center"/>
    </w:pPr>
    <w:r>
      <w:rPr>
        <w:rFonts w:ascii="Monotype Corsiva" w:hAnsi="Monotype Corsiva"/>
        <w:b/>
        <w:sz w:val="44"/>
        <w:szCs w:val="44"/>
      </w:rPr>
      <w:t xml:space="preserve">Resolución Nº   </w:t>
    </w:r>
    <w:r>
      <w:rPr>
        <w:rFonts w:ascii="Tahoma" w:hAnsi="Tahoma" w:cs="Tahoma"/>
        <w:b/>
        <w:sz w:val="44"/>
        <w:szCs w:val="44"/>
      </w:rPr>
      <w:t>960-2011-TC-S1</w:t>
    </w:r>
  </w:p>
  <w:p w:rsidR="00B07267" w:rsidRDefault="00B0726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494C4D96"/>
    <w:lvl w:ilvl="0" w:tplc="D12AE17C">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B204BB"/>
    <w:multiLevelType w:val="hybridMultilevel"/>
    <w:tmpl w:val="9CB8A43E"/>
    <w:lvl w:ilvl="0" w:tplc="8C68F40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11104B16"/>
    <w:multiLevelType w:val="hybridMultilevel"/>
    <w:tmpl w:val="722A2E5A"/>
    <w:lvl w:ilvl="0" w:tplc="8B92C998">
      <w:start w:val="1"/>
      <w:numFmt w:val="decimal"/>
      <w:lvlText w:val="%1."/>
      <w:lvlJc w:val="left"/>
      <w:pPr>
        <w:tabs>
          <w:tab w:val="num" w:pos="1440"/>
        </w:tabs>
        <w:ind w:left="1440" w:hanging="360"/>
      </w:pPr>
      <w:rPr>
        <w:rFonts w:ascii="Tahoma" w:hAnsi="Tahoma"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8B0500E"/>
    <w:multiLevelType w:val="hybridMultilevel"/>
    <w:tmpl w:val="C3A40C62"/>
    <w:lvl w:ilvl="0" w:tplc="4648C96C">
      <w:start w:val="1"/>
      <w:numFmt w:val="decimal"/>
      <w:lvlText w:val="%1."/>
      <w:lvlJc w:val="left"/>
      <w:pPr>
        <w:ind w:left="720" w:hanging="360"/>
      </w:pPr>
      <w:rPr>
        <w:rFonts w:ascii="Tahoma" w:hAnsi="Tahoma" w:cs="Tahoma" w:hint="default"/>
        <w:b/>
        <w:i w:val="0"/>
        <w:sz w:val="22"/>
        <w:szCs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2B34D7F"/>
    <w:multiLevelType w:val="hybridMultilevel"/>
    <w:tmpl w:val="81FAF130"/>
    <w:lvl w:ilvl="0" w:tplc="0C0A001B">
      <w:start w:val="1"/>
      <w:numFmt w:val="lowerRoman"/>
      <w:lvlText w:val="%1."/>
      <w:lvlJc w:val="righ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nsid w:val="37F44792"/>
    <w:multiLevelType w:val="hybridMultilevel"/>
    <w:tmpl w:val="164A97BA"/>
    <w:lvl w:ilvl="0" w:tplc="262CB59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AFF2C6E"/>
    <w:multiLevelType w:val="hybridMultilevel"/>
    <w:tmpl w:val="837C9C0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6BEF7965"/>
    <w:multiLevelType w:val="hybridMultilevel"/>
    <w:tmpl w:val="C68A194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2"/>
  </w:num>
  <w:num w:numId="5">
    <w:abstractNumId w:val="4"/>
  </w:num>
  <w:num w:numId="6">
    <w:abstractNumId w:val="7"/>
  </w:num>
  <w:num w:numId="7">
    <w:abstractNumId w:val="8"/>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2B7AFB"/>
    <w:rsid w:val="00094426"/>
    <w:rsid w:val="001255EB"/>
    <w:rsid w:val="002B7AFB"/>
    <w:rsid w:val="00320E67"/>
    <w:rsid w:val="005F0E2E"/>
    <w:rsid w:val="00751082"/>
    <w:rsid w:val="00830F95"/>
    <w:rsid w:val="00851A2A"/>
    <w:rsid w:val="008B2245"/>
    <w:rsid w:val="009042C5"/>
    <w:rsid w:val="00B07267"/>
    <w:rsid w:val="00B44D45"/>
    <w:rsid w:val="00F1014B"/>
    <w:rsid w:val="00FE3BC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F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2B7AFB"/>
    <w:pPr>
      <w:spacing w:after="120"/>
    </w:pPr>
    <w:rPr>
      <w:sz w:val="16"/>
      <w:szCs w:val="16"/>
      <w:lang w:val="es-PE"/>
    </w:rPr>
  </w:style>
  <w:style w:type="character" w:customStyle="1" w:styleId="Textoindependiente3Car">
    <w:name w:val="Texto independiente 3 Car"/>
    <w:basedOn w:val="Fuentedeprrafopredeter"/>
    <w:link w:val="Textoindependiente3"/>
    <w:rsid w:val="002B7AFB"/>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2B7AFB"/>
    <w:pPr>
      <w:jc w:val="both"/>
    </w:pPr>
    <w:rPr>
      <w:rFonts w:ascii="Tahoma" w:hAnsi="Tahoma"/>
      <w:sz w:val="22"/>
      <w:szCs w:val="20"/>
    </w:rPr>
  </w:style>
  <w:style w:type="paragraph" w:styleId="Prrafodelista">
    <w:name w:val="List Paragraph"/>
    <w:basedOn w:val="Normal"/>
    <w:uiPriority w:val="34"/>
    <w:qFormat/>
    <w:rsid w:val="002B7AFB"/>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Texto independiente2, Car1 Car,Car1 Car, Car2 Car Car Car Car Car, Car2 Car Car, Car2 Car Car Car Car Car Car, Car2 Car1 Car"/>
    <w:basedOn w:val="Normal"/>
    <w:link w:val="TextonotapieCar"/>
    <w:rsid w:val="002B7AFB"/>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Texto independiente2 Car, Car1 Car Car,Car1 Car Car, Car2 Car Car Car Car Car Car1"/>
    <w:basedOn w:val="Fuentedeprrafopredeter"/>
    <w:link w:val="Textonotapie"/>
    <w:rsid w:val="002B7AFB"/>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2B7AFB"/>
    <w:rPr>
      <w:rFonts w:cs="Times New Roman"/>
      <w:vertAlign w:val="superscript"/>
    </w:rPr>
  </w:style>
  <w:style w:type="paragraph" w:styleId="Sangradetextonormal">
    <w:name w:val="Body Text Indent"/>
    <w:basedOn w:val="Normal"/>
    <w:link w:val="SangradetextonormalCar"/>
    <w:uiPriority w:val="99"/>
    <w:rsid w:val="002B7AFB"/>
    <w:pPr>
      <w:spacing w:after="120"/>
      <w:ind w:left="283"/>
    </w:pPr>
  </w:style>
  <w:style w:type="character" w:customStyle="1" w:styleId="SangradetextonormalCar">
    <w:name w:val="Sangría de texto normal Car"/>
    <w:basedOn w:val="Fuentedeprrafopredeter"/>
    <w:link w:val="Sangradetextonormal"/>
    <w:uiPriority w:val="99"/>
    <w:rsid w:val="002B7AFB"/>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830F9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830F9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30F95"/>
    <w:pPr>
      <w:tabs>
        <w:tab w:val="center" w:pos="4252"/>
        <w:tab w:val="right" w:pos="8504"/>
      </w:tabs>
    </w:pPr>
  </w:style>
  <w:style w:type="character" w:customStyle="1" w:styleId="PiedepginaCar">
    <w:name w:val="Pie de página Car"/>
    <w:basedOn w:val="Fuentedeprrafopredeter"/>
    <w:link w:val="Piedepgina"/>
    <w:uiPriority w:val="99"/>
    <w:rsid w:val="00830F9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5209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2698</Words>
  <Characters>14839</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10</cp:revision>
  <cp:lastPrinted>2011-05-31T20:11:00Z</cp:lastPrinted>
  <dcterms:created xsi:type="dcterms:W3CDTF">2011-05-31T19:56:00Z</dcterms:created>
  <dcterms:modified xsi:type="dcterms:W3CDTF">2011-06-22T14:39:00Z</dcterms:modified>
</cp:coreProperties>
</file>